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D4D1" w14:textId="77777777" w:rsidR="00621277" w:rsidRDefault="002C5F8E">
      <w:pPr>
        <w:spacing w:line="210" w:lineRule="atLeast"/>
      </w:pPr>
      <w:r>
        <w:rPr>
          <w:rFonts w:ascii="Verdana" w:eastAsia="Verdana" w:hAnsi="Verdana" w:cs="Verdana"/>
          <w:color w:val="000000"/>
        </w:rPr>
        <w:t>Службени гласник РС 93/2025, Датум: 24.10.2025.</w:t>
      </w:r>
    </w:p>
    <w:p w14:paraId="645A2FC3" w14:textId="77777777" w:rsidR="00621277" w:rsidRDefault="002C5F8E">
      <w:pPr>
        <w:spacing w:line="210" w:lineRule="atLeast"/>
        <w:jc w:val="center"/>
      </w:pPr>
      <w:r>
        <w:rPr>
          <w:rFonts w:ascii="Verdana" w:eastAsia="Verdana" w:hAnsi="Verdana" w:cs="Verdana"/>
          <w:b/>
        </w:rPr>
        <w:t>4928</w:t>
      </w:r>
    </w:p>
    <w:p w14:paraId="72E743DF" w14:textId="77777777" w:rsidR="00621277" w:rsidRDefault="002C5F8E">
      <w:pPr>
        <w:spacing w:line="210" w:lineRule="atLeast"/>
      </w:pPr>
      <w:r>
        <w:rPr>
          <w:rFonts w:ascii="Verdana" w:eastAsia="Verdana" w:hAnsi="Verdana" w:cs="Verdana"/>
        </w:rPr>
        <w:t>На основу члана 37. став 6. Закона о уређењу тржишта пољопривредних производа („Службени гласник РС”, број 67/21) и члана 42. став 1. Закона о Влади („Службени гласник РС”, бр. 55/05, 71/05 – исправка, 101/07, 65/08, 16/11, 68/12 – УС, 72/12, 7/14 – УС, 44/14 и 30/18 – др. закон),</w:t>
      </w:r>
    </w:p>
    <w:p w14:paraId="2D23C1C4" w14:textId="77777777" w:rsidR="00621277" w:rsidRDefault="002C5F8E">
      <w:pPr>
        <w:spacing w:line="210" w:lineRule="atLeast"/>
      </w:pPr>
      <w:r>
        <w:rPr>
          <w:rFonts w:ascii="Verdana" w:eastAsia="Verdana" w:hAnsi="Verdana" w:cs="Verdana"/>
        </w:rPr>
        <w:t>Влада доноси</w:t>
      </w:r>
    </w:p>
    <w:p w14:paraId="4FCD4A81" w14:textId="77777777" w:rsidR="00621277" w:rsidRDefault="002C5F8E">
      <w:pPr>
        <w:spacing w:line="210" w:lineRule="atLeast"/>
        <w:jc w:val="center"/>
      </w:pPr>
      <w:r>
        <w:rPr>
          <w:rFonts w:ascii="Verdana" w:eastAsia="Verdana" w:hAnsi="Verdana" w:cs="Verdana"/>
          <w:b/>
        </w:rPr>
        <w:t xml:space="preserve">УРЕДБУ </w:t>
      </w:r>
    </w:p>
    <w:p w14:paraId="11B00996" w14:textId="77777777" w:rsidR="00621277" w:rsidRDefault="002C5F8E">
      <w:pPr>
        <w:spacing w:line="210" w:lineRule="atLeast"/>
        <w:jc w:val="center"/>
      </w:pPr>
      <w:r>
        <w:rPr>
          <w:rFonts w:ascii="Verdana" w:eastAsia="Verdana" w:hAnsi="Verdana" w:cs="Verdana"/>
          <w:b/>
        </w:rPr>
        <w:t xml:space="preserve">о ванредној интервентној мери подршке правним лицима и предузетницима који складиште малину рода 2025. године ради правовременог отклањања тржишних поремећаја </w:t>
      </w:r>
    </w:p>
    <w:p w14:paraId="296C875A" w14:textId="77777777" w:rsidR="00621277" w:rsidRDefault="002C5F8E">
      <w:pPr>
        <w:spacing w:line="210" w:lineRule="atLeast"/>
        <w:jc w:val="center"/>
      </w:pPr>
      <w:r>
        <w:rPr>
          <w:rFonts w:ascii="Verdana" w:eastAsia="Verdana" w:hAnsi="Verdana" w:cs="Verdana"/>
        </w:rPr>
        <w:t>Члан 1.</w:t>
      </w:r>
    </w:p>
    <w:p w14:paraId="43914297" w14:textId="77777777" w:rsidR="00621277" w:rsidRDefault="002C5F8E" w:rsidP="00D82CAB">
      <w:pPr>
        <w:spacing w:line="210" w:lineRule="atLeast"/>
        <w:jc w:val="both"/>
      </w:pPr>
      <w:r>
        <w:rPr>
          <w:rFonts w:ascii="Verdana" w:eastAsia="Verdana" w:hAnsi="Verdana" w:cs="Verdana"/>
        </w:rPr>
        <w:t>Oвoм урeдбoм урeђуje сe вaнрeднa интeрвeнтнa мeрa пoдршкe правном лицу и предузетнику који складишти малину рода 2025. године, ради измирења обавеза према произвођачима, нaчин њeнoг спрoвoђeњa, кao и финaнсиjскa срeдствa зa њeнo спрoвoђeњe.</w:t>
      </w:r>
    </w:p>
    <w:p w14:paraId="36B46BDB" w14:textId="77777777" w:rsidR="00621277" w:rsidRDefault="002C5F8E">
      <w:pPr>
        <w:spacing w:line="210" w:lineRule="atLeast"/>
        <w:jc w:val="center"/>
      </w:pPr>
      <w:r>
        <w:rPr>
          <w:rFonts w:ascii="Verdana" w:eastAsia="Verdana" w:hAnsi="Verdana" w:cs="Verdana"/>
        </w:rPr>
        <w:t>Члан 2.</w:t>
      </w:r>
    </w:p>
    <w:p w14:paraId="429A7199" w14:textId="77777777" w:rsidR="00621277" w:rsidRDefault="002C5F8E" w:rsidP="00D82CAB">
      <w:pPr>
        <w:spacing w:line="210" w:lineRule="atLeast"/>
        <w:jc w:val="both"/>
      </w:pPr>
      <w:r>
        <w:rPr>
          <w:rFonts w:ascii="Verdana" w:eastAsia="Verdana" w:hAnsi="Verdana" w:cs="Verdana"/>
        </w:rPr>
        <w:t>Као ванредна интервентна мера из члана 1. ове уредбе утврђује се подршка правном лицу и предузетнику регистрованом у Агенцији за привредне регистре, које складишти малину рода 2025. године, у хладњачи уписаној у Централни регистар објеката у складу са законом којим се уређује безбедност хране (у даљем тексту: хладњача), кроз одобрење кредита код Банке Поштанске штедионице, акционарско друштво Београд (у даљем тексту: Банка) ради измирења обавеза према произвођачима малине рода 2025. године (у даљем тексту: кредитна подршка).</w:t>
      </w:r>
    </w:p>
    <w:p w14:paraId="3A04C789" w14:textId="77777777" w:rsidR="00621277" w:rsidRDefault="002C5F8E" w:rsidP="00D82CAB">
      <w:pPr>
        <w:spacing w:line="210" w:lineRule="atLeast"/>
        <w:jc w:val="both"/>
      </w:pPr>
      <w:r>
        <w:rPr>
          <w:rFonts w:ascii="Verdana" w:eastAsia="Verdana" w:hAnsi="Verdana" w:cs="Verdana"/>
        </w:rPr>
        <w:t>Кредитна подршка остварује се кроз субвенционисање дела камате на кредит у висини референтне каматне стопе Народне банке Србије.</w:t>
      </w:r>
    </w:p>
    <w:p w14:paraId="64679B26" w14:textId="77777777" w:rsidR="00621277" w:rsidRDefault="002C5F8E" w:rsidP="00D82CAB">
      <w:pPr>
        <w:spacing w:line="210" w:lineRule="atLeast"/>
        <w:jc w:val="both"/>
      </w:pPr>
      <w:r>
        <w:rPr>
          <w:rFonts w:ascii="Verdana" w:eastAsia="Verdana" w:hAnsi="Verdana" w:cs="Verdana"/>
        </w:rPr>
        <w:t>Meрa из стaвa 1. oвoг члaнa сe утврђуje рaди eфикaснoг и прaвoврeмeнoг oтклaњaњa тржишних пoрeмeћaja прoузрoкoвaних дoгaђajимa и oкoлнoстимa, односно временским непогодама узрокoваним климатским променама кojи су дoвeли до смањења приноса малине рода 2025. године и пoрeмeћaja нa тржишту.</w:t>
      </w:r>
    </w:p>
    <w:p w14:paraId="75B7EC79" w14:textId="77777777" w:rsidR="00621277" w:rsidRDefault="002C5F8E">
      <w:pPr>
        <w:spacing w:line="210" w:lineRule="atLeast"/>
        <w:jc w:val="center"/>
      </w:pPr>
      <w:r>
        <w:rPr>
          <w:rFonts w:ascii="Verdana" w:eastAsia="Verdana" w:hAnsi="Verdana" w:cs="Verdana"/>
        </w:rPr>
        <w:t>Члан 3.</w:t>
      </w:r>
    </w:p>
    <w:p w14:paraId="2BF7DED6" w14:textId="77777777" w:rsidR="00621277" w:rsidRDefault="002C5F8E" w:rsidP="00D82CAB">
      <w:pPr>
        <w:spacing w:line="210" w:lineRule="atLeast"/>
        <w:jc w:val="both"/>
      </w:pPr>
      <w:r>
        <w:rPr>
          <w:rFonts w:ascii="Verdana" w:eastAsia="Verdana" w:hAnsi="Verdana" w:cs="Verdana"/>
        </w:rPr>
        <w:t>Крeдитнa пoдршкa остварује се за кредит из члана 2. ове уредбе који се одобрава под следећим условима:</w:t>
      </w:r>
    </w:p>
    <w:p w14:paraId="5F2C7B67" w14:textId="77777777" w:rsidR="00621277" w:rsidRDefault="002C5F8E" w:rsidP="00D82CAB">
      <w:pPr>
        <w:spacing w:line="210" w:lineRule="atLeast"/>
        <w:jc w:val="both"/>
      </w:pPr>
      <w:r>
        <w:rPr>
          <w:rFonts w:ascii="Verdana" w:eastAsia="Verdana" w:hAnsi="Verdana" w:cs="Verdana"/>
        </w:rPr>
        <w:t>1) да је максимални износ кредита добијен као збир производа количине малине на залихама рода 2025. године на дан подношења захтева за кредит и цене у износу од 500 динара по килограму, за максимално до 60 тона малине на залихама;</w:t>
      </w:r>
    </w:p>
    <w:p w14:paraId="4886F915" w14:textId="77777777" w:rsidR="00621277" w:rsidRDefault="002C5F8E" w:rsidP="00D82CAB">
      <w:pPr>
        <w:spacing w:line="210" w:lineRule="atLeast"/>
        <w:jc w:val="both"/>
      </w:pPr>
      <w:r>
        <w:rPr>
          <w:rFonts w:ascii="Verdana" w:eastAsia="Verdana" w:hAnsi="Verdana" w:cs="Verdana"/>
        </w:rPr>
        <w:t>2) да је валута кредита динар;</w:t>
      </w:r>
    </w:p>
    <w:p w14:paraId="7D0E6C39" w14:textId="77777777" w:rsidR="00621277" w:rsidRDefault="002C5F8E" w:rsidP="00D82CAB">
      <w:pPr>
        <w:spacing w:line="210" w:lineRule="atLeast"/>
        <w:jc w:val="both"/>
      </w:pPr>
      <w:r>
        <w:rPr>
          <w:rFonts w:ascii="Verdana" w:eastAsia="Verdana" w:hAnsi="Verdana" w:cs="Verdana"/>
        </w:rPr>
        <w:t>3) да је рок отплате кредита максимално до 12 месеци од дана пуштања кредита у течај, укључујући и грејс период у трајању до шест месеци;</w:t>
      </w:r>
    </w:p>
    <w:p w14:paraId="2D5ABF7E" w14:textId="77777777" w:rsidR="00621277" w:rsidRDefault="002C5F8E" w:rsidP="00D82CAB">
      <w:pPr>
        <w:spacing w:line="210" w:lineRule="atLeast"/>
        <w:jc w:val="both"/>
      </w:pPr>
      <w:r>
        <w:rPr>
          <w:rFonts w:ascii="Verdana" w:eastAsia="Verdana" w:hAnsi="Verdana" w:cs="Verdana"/>
        </w:rPr>
        <w:lastRenderedPageBreak/>
        <w:t>4) да је намена кредита примарно за измирење обавеза према произвођачима малине рода 2025. године, о чему ће корисник кредита достављати одговарајућу документацију;</w:t>
      </w:r>
    </w:p>
    <w:p w14:paraId="0D71171F" w14:textId="77777777" w:rsidR="00621277" w:rsidRDefault="002C5F8E" w:rsidP="00D82CAB">
      <w:pPr>
        <w:spacing w:line="210" w:lineRule="atLeast"/>
        <w:jc w:val="both"/>
      </w:pPr>
      <w:r>
        <w:rPr>
          <w:rFonts w:ascii="Verdana" w:eastAsia="Verdana" w:hAnsi="Verdana" w:cs="Verdana"/>
        </w:rPr>
        <w:t>5) да је обавезно обезбеђење меницe корисника кредита и власника корисника кредита, залога на залихама малине чија је вредност најмање једнака износу кредита, хипотека на непокретнoсти кoja je одговарајућа за Банку (уколико је реч о хладњачи и/или индустријској згради, обавезно обезбеђење је успостављање заложног права и на опреми која чини одвојиви или неодвојиви део који је спојен са непокретнoшћу тако да чини њен саставни део, односно чини са њом функционалну целину), и/или залога на покретној имовини одговарајућа за Банку;</w:t>
      </w:r>
    </w:p>
    <w:p w14:paraId="4690CBA4" w14:textId="77777777" w:rsidR="00621277" w:rsidRDefault="002C5F8E" w:rsidP="00D82CAB">
      <w:pPr>
        <w:spacing w:line="210" w:lineRule="atLeast"/>
        <w:jc w:val="both"/>
      </w:pPr>
      <w:r>
        <w:rPr>
          <w:rFonts w:ascii="Verdana" w:eastAsia="Verdana" w:hAnsi="Verdana" w:cs="Verdana"/>
        </w:rPr>
        <w:t>6) да је начин отплате кредита у једнаким месечним ратама, након истека грејс периода;</w:t>
      </w:r>
    </w:p>
    <w:p w14:paraId="3BE12214" w14:textId="77777777" w:rsidR="00621277" w:rsidRDefault="002C5F8E" w:rsidP="00D82CAB">
      <w:pPr>
        <w:spacing w:line="210" w:lineRule="atLeast"/>
        <w:jc w:val="both"/>
      </w:pPr>
      <w:r>
        <w:rPr>
          <w:rFonts w:ascii="Verdana" w:eastAsia="Verdana" w:hAnsi="Verdana" w:cs="Verdana"/>
        </w:rPr>
        <w:t>7) да номинална каматна стопа на годишњем нивоу не може бити већа од референтне каматне стопе Народне банке Србије увећане за 2,5 процентна поена, с тим да кредитна подршка по сваком појединачном кредиту за субвенционисање каматне стопе одговара висини референтне каматне стопе Народне банке Србије, док се корисник кредита обавезује да Банци плати камату од 2,5 процентна поена на износ одобреног кредита;</w:t>
      </w:r>
    </w:p>
    <w:p w14:paraId="46E52864" w14:textId="77777777" w:rsidR="00621277" w:rsidRDefault="002C5F8E" w:rsidP="00D82CAB">
      <w:pPr>
        <w:spacing w:line="210" w:lineRule="atLeast"/>
        <w:jc w:val="both"/>
      </w:pPr>
      <w:r>
        <w:rPr>
          <w:rFonts w:ascii="Verdana" w:eastAsia="Verdana" w:hAnsi="Verdana" w:cs="Verdana"/>
        </w:rPr>
        <w:t>8) да после пуштања кредита у течај, Банка подноси министарству надлежном за послове пољопривреде (у даљем тексту: Министарство) захтев за субвенцију камате, а Министарство Банци уплаћује средства на име субвенционисаног дела камате у једнократном износу, у року од 30 дана од дана пријема захтева за субвенцију камате;</w:t>
      </w:r>
    </w:p>
    <w:p w14:paraId="604B56F9" w14:textId="77777777" w:rsidR="00621277" w:rsidRDefault="002C5F8E" w:rsidP="00D82CAB">
      <w:pPr>
        <w:spacing w:line="210" w:lineRule="atLeast"/>
        <w:jc w:val="both"/>
      </w:pPr>
      <w:r>
        <w:rPr>
          <w:rFonts w:ascii="Verdana" w:eastAsia="Verdana" w:hAnsi="Verdana" w:cs="Verdana"/>
        </w:rPr>
        <w:t>9) да ако корисник кредита превремено отплати део или цео кредит, Банка се обавезује да Министарству у року од 30 дана пренесе сразмеран износ средстава субвенционисане камате;</w:t>
      </w:r>
    </w:p>
    <w:p w14:paraId="455475B5" w14:textId="77777777" w:rsidR="00621277" w:rsidRDefault="002C5F8E" w:rsidP="00D82CAB">
      <w:pPr>
        <w:spacing w:line="210" w:lineRule="atLeast"/>
        <w:jc w:val="both"/>
      </w:pPr>
      <w:r>
        <w:rPr>
          <w:rFonts w:ascii="Verdana" w:eastAsia="Verdana" w:hAnsi="Verdana" w:cs="Verdana"/>
        </w:rPr>
        <w:t>10) да месечну, као и иницијалну контролу залиха малине врши Министарство преко пољопривредног инспектора и извештај о контроли уз лагер листу о стању залиха малине доставља и Банци.</w:t>
      </w:r>
    </w:p>
    <w:p w14:paraId="54348622" w14:textId="77777777" w:rsidR="00621277" w:rsidRDefault="002C5F8E" w:rsidP="00D82CAB">
      <w:pPr>
        <w:spacing w:line="210" w:lineRule="atLeast"/>
        <w:jc w:val="both"/>
      </w:pPr>
      <w:r>
        <w:rPr>
          <w:rFonts w:ascii="Verdana" w:eastAsia="Verdana" w:hAnsi="Verdana" w:cs="Verdana"/>
        </w:rPr>
        <w:t>Корисник кредита у периоду коришћења, па све до коначне отплате кредита као једини пословни рачун може користити само рачун у Банци.</w:t>
      </w:r>
    </w:p>
    <w:p w14:paraId="7E0A96F9" w14:textId="77777777" w:rsidR="00621277" w:rsidRDefault="002C5F8E" w:rsidP="00D82CAB">
      <w:pPr>
        <w:spacing w:line="210" w:lineRule="atLeast"/>
        <w:jc w:val="both"/>
      </w:pPr>
      <w:r>
        <w:rPr>
          <w:rFonts w:ascii="Verdana" w:eastAsia="Verdana" w:hAnsi="Verdana" w:cs="Verdana"/>
        </w:rPr>
        <w:t xml:space="preserve">Банка кредит, у складу са овом уредбом, може да одобри корисницима кредита који се налазе у финансијским потешкоћама изазваним поремећајима на тржишту закључно са 30. новембром 2025. године. </w:t>
      </w:r>
    </w:p>
    <w:p w14:paraId="774EB960" w14:textId="77777777" w:rsidR="00621277" w:rsidRDefault="002C5F8E" w:rsidP="00D82CAB">
      <w:pPr>
        <w:spacing w:line="210" w:lineRule="atLeast"/>
        <w:jc w:val="both"/>
      </w:pPr>
      <w:r>
        <w:rPr>
          <w:rFonts w:ascii="Verdana" w:eastAsia="Verdana" w:hAnsi="Verdana" w:cs="Verdana"/>
        </w:rPr>
        <w:t>Банка на тромесечном нивоу информише Министарство и министарство надлежно за послове финансија о реализацији предметних пласмана, стању обавеза и доцњама.</w:t>
      </w:r>
    </w:p>
    <w:p w14:paraId="222A9FDF" w14:textId="77777777" w:rsidR="00621277" w:rsidRDefault="002C5F8E">
      <w:pPr>
        <w:spacing w:line="210" w:lineRule="atLeast"/>
        <w:jc w:val="center"/>
      </w:pPr>
      <w:r>
        <w:rPr>
          <w:rFonts w:ascii="Verdana" w:eastAsia="Verdana" w:hAnsi="Verdana" w:cs="Verdana"/>
        </w:rPr>
        <w:t>Члан 4.</w:t>
      </w:r>
    </w:p>
    <w:p w14:paraId="5843FB90" w14:textId="77777777" w:rsidR="00621277" w:rsidRDefault="002C5F8E" w:rsidP="00D82CAB">
      <w:pPr>
        <w:spacing w:line="210" w:lineRule="atLeast"/>
        <w:jc w:val="both"/>
      </w:pPr>
      <w:r>
        <w:rPr>
          <w:rFonts w:ascii="Verdana" w:eastAsia="Verdana" w:hAnsi="Verdana" w:cs="Verdana"/>
        </w:rPr>
        <w:t>Министарство и Банка закључују уговор којим ближе уређују међусобна права и обавезе у вези са спровођењем ове уредбе.</w:t>
      </w:r>
    </w:p>
    <w:p w14:paraId="43169D14" w14:textId="77777777" w:rsidR="00621277" w:rsidRDefault="002C5F8E" w:rsidP="00D82CAB">
      <w:pPr>
        <w:spacing w:line="210" w:lineRule="atLeast"/>
        <w:jc w:val="both"/>
      </w:pPr>
      <w:r>
        <w:rPr>
          <w:rFonts w:ascii="Verdana" w:eastAsia="Verdana" w:hAnsi="Verdana" w:cs="Verdana"/>
        </w:rPr>
        <w:t>Поступак за остваривање права на кредитну подршку покреће се подношењем писаног захтева за одобрење кредитне подршке са одговарајућом документацијом, у складу са овом уредбом, Банци.</w:t>
      </w:r>
    </w:p>
    <w:p w14:paraId="5594D2F8" w14:textId="77777777" w:rsidR="00621277" w:rsidRDefault="002C5F8E" w:rsidP="00D82CAB">
      <w:pPr>
        <w:spacing w:line="210" w:lineRule="atLeast"/>
        <w:jc w:val="both"/>
      </w:pPr>
      <w:r>
        <w:rPr>
          <w:rFonts w:ascii="Verdana" w:eastAsia="Verdana" w:hAnsi="Verdana" w:cs="Verdana"/>
        </w:rPr>
        <w:lastRenderedPageBreak/>
        <w:t>Пoднoсилaц зaхтeвa мoжe пoднeти сaмo jeдaн зaхтeв зa oдoбрење кредитне подршке из става 2. овог члана.</w:t>
      </w:r>
    </w:p>
    <w:p w14:paraId="496E519B" w14:textId="77777777" w:rsidR="00621277" w:rsidRDefault="002C5F8E" w:rsidP="00D82CAB">
      <w:pPr>
        <w:spacing w:line="210" w:lineRule="atLeast"/>
        <w:jc w:val="both"/>
      </w:pPr>
      <w:r>
        <w:rPr>
          <w:rFonts w:ascii="Verdana" w:eastAsia="Verdana" w:hAnsi="Verdana" w:cs="Verdana"/>
        </w:rPr>
        <w:t>Банка утврђује испуњеност услова за одобрење кредита и по пријему обавештења од стране Министарства, закључује уговор о кредиту са корисником кредита.</w:t>
      </w:r>
    </w:p>
    <w:p w14:paraId="283D7529" w14:textId="77777777" w:rsidR="00621277" w:rsidRDefault="002C5F8E" w:rsidP="00D82CAB">
      <w:pPr>
        <w:spacing w:line="210" w:lineRule="atLeast"/>
        <w:jc w:val="both"/>
      </w:pPr>
      <w:r>
        <w:rPr>
          <w:rFonts w:ascii="Verdana" w:eastAsia="Verdana" w:hAnsi="Verdana" w:cs="Verdana"/>
        </w:rPr>
        <w:t>После пуштања кредита у течај, Банка подноси Министарству захтев за субвенцију дела камате.</w:t>
      </w:r>
    </w:p>
    <w:p w14:paraId="58C4752B" w14:textId="77777777" w:rsidR="00621277" w:rsidRDefault="002C5F8E" w:rsidP="00D82CAB">
      <w:pPr>
        <w:spacing w:line="210" w:lineRule="atLeast"/>
        <w:jc w:val="both"/>
      </w:pPr>
      <w:r>
        <w:rPr>
          <w:rFonts w:ascii="Verdana" w:eastAsia="Verdana" w:hAnsi="Verdana" w:cs="Verdana"/>
        </w:rPr>
        <w:t>Министарство Банци уплаћује средства на име субвенционисаног дела камате у складу са овом уредбом, у једнократном износу, у року од 30 дана од дана пријема захтева за субвенцију дела камате.</w:t>
      </w:r>
    </w:p>
    <w:p w14:paraId="03CFD335" w14:textId="77777777" w:rsidR="00621277" w:rsidRDefault="002C5F8E">
      <w:pPr>
        <w:spacing w:line="210" w:lineRule="atLeast"/>
        <w:jc w:val="center"/>
      </w:pPr>
      <w:r>
        <w:rPr>
          <w:rFonts w:ascii="Verdana" w:eastAsia="Verdana" w:hAnsi="Verdana" w:cs="Verdana"/>
        </w:rPr>
        <w:t>Члан 5.</w:t>
      </w:r>
    </w:p>
    <w:p w14:paraId="56E650E6" w14:textId="77777777" w:rsidR="00621277" w:rsidRDefault="002C5F8E" w:rsidP="00D82CAB">
      <w:pPr>
        <w:spacing w:line="210" w:lineRule="atLeast"/>
        <w:jc w:val="both"/>
      </w:pPr>
      <w:r>
        <w:rPr>
          <w:rFonts w:ascii="Verdana" w:eastAsia="Verdana" w:hAnsi="Verdana" w:cs="Verdana"/>
        </w:rPr>
        <w:t>Средства за спровођење ове уредбе обезбеђена су Законом о буџету Републике Србије за 2025. годину („Службени гласник РС”, број 94/24), у оквиру Раздела 24 – Министарство пољопривреде, шумарства и водопривреде, Глава 24.6 – Управа за аграрна плаћања, Програм 0103 – Подстицаји у пољопривреди и руралном развоју, Функција 420 – Пољопривреда, шумарство, лов и риболов, Програмска активност/пројекат 0007 – Правила и мере уређења тржишта, Економска класификација 451 – Субвенције јавним нефинансијским предузећима и организацијама у износу од 1.000.000.000 динара, од чега за ову уредбу 20.000.000 динара.</w:t>
      </w:r>
    </w:p>
    <w:p w14:paraId="5CBA6DAE" w14:textId="77777777" w:rsidR="00621277" w:rsidRDefault="002C5F8E">
      <w:pPr>
        <w:spacing w:line="210" w:lineRule="atLeast"/>
        <w:jc w:val="center"/>
      </w:pPr>
      <w:r>
        <w:rPr>
          <w:rFonts w:ascii="Verdana" w:eastAsia="Verdana" w:hAnsi="Verdana" w:cs="Verdana"/>
        </w:rPr>
        <w:t>Члан 6.</w:t>
      </w:r>
    </w:p>
    <w:p w14:paraId="770E9C27" w14:textId="77777777" w:rsidR="00621277" w:rsidRDefault="002C5F8E" w:rsidP="00D82CAB">
      <w:pPr>
        <w:spacing w:line="210" w:lineRule="atLeast"/>
        <w:jc w:val="both"/>
      </w:pPr>
      <w:r>
        <w:rPr>
          <w:rFonts w:ascii="Verdana" w:eastAsia="Verdana" w:hAnsi="Verdana" w:cs="Verdana"/>
        </w:rPr>
        <w:t>Надзор над спровођењем ове уредбе врши Министарство, преко пољопривредног инспектора.</w:t>
      </w:r>
    </w:p>
    <w:p w14:paraId="06896C3F" w14:textId="77777777" w:rsidR="00621277" w:rsidRDefault="002C5F8E">
      <w:pPr>
        <w:spacing w:line="210" w:lineRule="atLeast"/>
        <w:jc w:val="center"/>
      </w:pPr>
      <w:r>
        <w:rPr>
          <w:rFonts w:ascii="Verdana" w:eastAsia="Verdana" w:hAnsi="Verdana" w:cs="Verdana"/>
        </w:rPr>
        <w:t>Члан 7.</w:t>
      </w:r>
    </w:p>
    <w:p w14:paraId="610A6BE6" w14:textId="77777777" w:rsidR="00621277" w:rsidRDefault="002C5F8E" w:rsidP="00D82CAB">
      <w:pPr>
        <w:spacing w:line="210" w:lineRule="atLeast"/>
        <w:jc w:val="both"/>
      </w:pPr>
      <w:r>
        <w:rPr>
          <w:rFonts w:ascii="Verdana" w:eastAsia="Verdana" w:hAnsi="Verdana" w:cs="Verdana"/>
        </w:rPr>
        <w:t>Министарство израђује извештај о спровођењу ове уредбе и доставља га Влади у року од шест месеци након спровођења ове уредбе, ради информисања.</w:t>
      </w:r>
    </w:p>
    <w:p w14:paraId="67DA4D8A" w14:textId="77777777" w:rsidR="00621277" w:rsidRDefault="002C5F8E">
      <w:pPr>
        <w:spacing w:line="210" w:lineRule="atLeast"/>
        <w:jc w:val="center"/>
      </w:pPr>
      <w:r>
        <w:rPr>
          <w:rFonts w:ascii="Verdana" w:eastAsia="Verdana" w:hAnsi="Verdana" w:cs="Verdana"/>
        </w:rPr>
        <w:t>Члан 8.</w:t>
      </w:r>
    </w:p>
    <w:p w14:paraId="3CDD920E" w14:textId="77777777" w:rsidR="00621277" w:rsidRDefault="002C5F8E" w:rsidP="00D82CAB">
      <w:pPr>
        <w:spacing w:line="210" w:lineRule="atLeast"/>
        <w:jc w:val="both"/>
      </w:pPr>
      <w:r>
        <w:rPr>
          <w:rFonts w:ascii="Verdana" w:eastAsia="Verdana" w:hAnsi="Verdana" w:cs="Verdana"/>
        </w:rPr>
        <w:t>Ова уредба ступа на снагу наредног дана од дана објављивања у ,,Службеном гласнику Републике Србије”.</w:t>
      </w:r>
    </w:p>
    <w:p w14:paraId="1B3904A5" w14:textId="77777777" w:rsidR="00621277" w:rsidRDefault="002C5F8E">
      <w:pPr>
        <w:spacing w:line="210" w:lineRule="atLeast"/>
        <w:jc w:val="right"/>
      </w:pPr>
      <w:r>
        <w:rPr>
          <w:rFonts w:ascii="Verdana" w:eastAsia="Verdana" w:hAnsi="Verdana" w:cs="Verdana"/>
        </w:rPr>
        <w:t>05 број 110-11442/2025-1</w:t>
      </w:r>
    </w:p>
    <w:p w14:paraId="7573F472" w14:textId="77777777" w:rsidR="00621277" w:rsidRDefault="002C5F8E">
      <w:pPr>
        <w:spacing w:line="210" w:lineRule="atLeast"/>
        <w:jc w:val="right"/>
      </w:pPr>
      <w:r>
        <w:rPr>
          <w:rFonts w:ascii="Verdana" w:eastAsia="Verdana" w:hAnsi="Verdana" w:cs="Verdana"/>
        </w:rPr>
        <w:t>У Београду, 24. октобра 2025. године</w:t>
      </w:r>
    </w:p>
    <w:p w14:paraId="7C75B6B1" w14:textId="77777777" w:rsidR="00621277" w:rsidRDefault="002C5F8E">
      <w:pPr>
        <w:spacing w:line="210" w:lineRule="atLeast"/>
        <w:jc w:val="right"/>
      </w:pPr>
      <w:r>
        <w:rPr>
          <w:rFonts w:ascii="Verdana" w:eastAsia="Verdana" w:hAnsi="Verdana" w:cs="Verdana"/>
          <w:b/>
        </w:rPr>
        <w:t>Влада</w:t>
      </w:r>
    </w:p>
    <w:p w14:paraId="4AEE991D" w14:textId="77777777" w:rsidR="00621277" w:rsidRDefault="002C5F8E">
      <w:pPr>
        <w:spacing w:line="210" w:lineRule="atLeast"/>
        <w:jc w:val="right"/>
      </w:pPr>
      <w:r>
        <w:rPr>
          <w:rFonts w:ascii="Verdana" w:eastAsia="Verdana" w:hAnsi="Verdana" w:cs="Verdana"/>
        </w:rPr>
        <w:t>Председник,</w:t>
      </w:r>
    </w:p>
    <w:p w14:paraId="3E74CE45" w14:textId="77777777" w:rsidR="00621277" w:rsidRDefault="002C5F8E">
      <w:pPr>
        <w:spacing w:line="210" w:lineRule="atLeast"/>
        <w:jc w:val="right"/>
      </w:pPr>
      <w:r>
        <w:rPr>
          <w:rFonts w:ascii="Verdana" w:eastAsia="Verdana" w:hAnsi="Verdana" w:cs="Verdana"/>
        </w:rPr>
        <w:t xml:space="preserve">проф. др </w:t>
      </w:r>
      <w:r>
        <w:rPr>
          <w:rFonts w:ascii="Verdana" w:eastAsia="Verdana" w:hAnsi="Verdana" w:cs="Verdana"/>
          <w:b/>
        </w:rPr>
        <w:t xml:space="preserve">Ђуро Мацут, </w:t>
      </w:r>
      <w:r>
        <w:rPr>
          <w:rFonts w:ascii="Verdana" w:eastAsia="Verdana" w:hAnsi="Verdana" w:cs="Verdana"/>
        </w:rPr>
        <w:t>с.р.</w:t>
      </w:r>
    </w:p>
    <w:sectPr w:rsidR="0062127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21277"/>
    <w:rsid w:val="002C5F8E"/>
    <w:rsid w:val="00621277"/>
    <w:rsid w:val="00987548"/>
    <w:rsid w:val="00D82CA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0530"/>
  <w15:docId w15:val="{F500912D-E323-4F32-95AB-02250E0D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 Ilić</cp:lastModifiedBy>
  <cp:revision>4</cp:revision>
  <dcterms:created xsi:type="dcterms:W3CDTF">2025-10-27T06:36:00Z</dcterms:created>
  <dcterms:modified xsi:type="dcterms:W3CDTF">2025-10-28T09:03:00Z</dcterms:modified>
</cp:coreProperties>
</file>