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D949" w14:textId="77777777" w:rsidR="001A5AA9" w:rsidRDefault="00776FC9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2570B10B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55/2025, Датум: 24.6.2025.</w:t>
      </w:r>
    </w:p>
    <w:p w14:paraId="6F44BF92" w14:textId="77777777" w:rsidR="001A5AA9" w:rsidRDefault="00776FC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3124</w:t>
      </w:r>
    </w:p>
    <w:p w14:paraId="3B76364E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 xml:space="preserve">На основу члана 3, a у вези са чл. 4, 5, 6, 7, 9, 10, 13, 14, 15, 17, 18. и 29. Уредбе о управљању програмима претприступне помоћи Европске уније у оквиру инструмента за претприступну помоћ (ИПА II) за период 2014–2020. године („Службени гласник РС”, број </w:t>
      </w:r>
      <w:r>
        <w:rPr>
          <w:rFonts w:ascii="Verdana" w:eastAsia="Verdana" w:hAnsi="Verdana" w:cs="Verdana"/>
        </w:rPr>
        <w:t xml:space="preserve">10/19) и  чланa 43. став 1. Закона о Влади („Службени гласник РС”, бр. 55/05, 71/05 – исправка, 101/07, 65/08, 16/11, 68/12 – УС, 72/12, 7/14 – УС, 44/14 и 30/18 − др. закон), </w:t>
      </w:r>
    </w:p>
    <w:p w14:paraId="410E2853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14:paraId="572DD7C2" w14:textId="77777777" w:rsidR="001A5AA9" w:rsidRDefault="00776FC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14:paraId="14BB24FD" w14:textId="77777777" w:rsidR="001A5AA9" w:rsidRDefault="00776FC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одређивању одговорних лица и тела за управљање програмима</w:t>
      </w:r>
      <w:r>
        <w:rPr>
          <w:rFonts w:ascii="Verdana" w:eastAsia="Verdana" w:hAnsi="Verdana" w:cs="Verdana"/>
          <w:b/>
        </w:rPr>
        <w:t xml:space="preserve"> претприступне помоћи Европске уније у оквиру инструмента за претприступну помоћ (ИПА II) за период 2014–2020. године</w:t>
      </w:r>
    </w:p>
    <w:p w14:paraId="6A86CCE2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1. Овом одлуком одређују се одговорна лица и тела за управљање програмима претприступне помоћи Европске уније у оквиру инструмента за прет</w:t>
      </w:r>
      <w:r>
        <w:rPr>
          <w:rFonts w:ascii="Verdana" w:eastAsia="Verdana" w:hAnsi="Verdana" w:cs="Verdana"/>
        </w:rPr>
        <w:t xml:space="preserve">приступну помоћ (ИПА II) за период 2014–2020. године: национални ИПА координатор, технички секретаријат националног ИПА координатора, национални службеник за одобравање, тела у управљачкој структури националног службеника за одобравање, тела у оперативној </w:t>
      </w:r>
      <w:r>
        <w:rPr>
          <w:rFonts w:ascii="Verdana" w:eastAsia="Verdana" w:hAnsi="Verdana" w:cs="Verdana"/>
        </w:rPr>
        <w:t>структури за управљање акционим програмима, лица и тела у оперативној структури за управљање програмима прекограничне сарадње, тела у оперативној структури за управљање ИПАРД програмом и Тело за сузбијање неправилности и превара у поступању са финансијским</w:t>
      </w:r>
      <w:r>
        <w:rPr>
          <w:rFonts w:ascii="Verdana" w:eastAsia="Verdana" w:hAnsi="Verdana" w:cs="Verdana"/>
        </w:rPr>
        <w:t xml:space="preserve"> средствима Европске уније.</w:t>
      </w:r>
    </w:p>
    <w:p w14:paraId="506EE52C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2. За националног ИПА координатора, одређује се државни секретар у Министарству за европске интеграције који је овлашћен да прати, усмерава и координира рад свих организационих јединица.</w:t>
      </w:r>
    </w:p>
    <w:p w14:paraId="495AB87A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3. Одређује се Министарство за европске и</w:t>
      </w:r>
      <w:r>
        <w:rPr>
          <w:rFonts w:ascii="Verdana" w:eastAsia="Verdana" w:hAnsi="Verdana" w:cs="Verdana"/>
        </w:rPr>
        <w:t>нтеграције – Сектор за планирање, програмирање, праћење и извештавање о средствима Европске уније и развојној помоћи, за Технички секретаријат националног ИПА координатора.</w:t>
      </w:r>
    </w:p>
    <w:p w14:paraId="386404F3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4. За националног службеника за одобравање, одређује се државни секретар у Министар</w:t>
      </w:r>
      <w:r>
        <w:rPr>
          <w:rFonts w:ascii="Verdana" w:eastAsia="Verdana" w:hAnsi="Verdana" w:cs="Verdana"/>
        </w:rPr>
        <w:t>ству финансија овлашћен да усмерава и координира рад Сектора за уговарање и финансирање програма из средстава Европске уније, Сектора за управљање средствима Европске уније, Сектора за међународну сарадњу и европске интеграције и Сектора – Централне једини</w:t>
      </w:r>
      <w:r>
        <w:rPr>
          <w:rFonts w:ascii="Verdana" w:eastAsia="Verdana" w:hAnsi="Verdana" w:cs="Verdana"/>
        </w:rPr>
        <w:t xml:space="preserve">це за хармонизацију. </w:t>
      </w:r>
    </w:p>
    <w:p w14:paraId="701EB5F1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Помоћник министра који руководи Сектором за управљање средствима Европске уније у oквиру Mинистaрствa финaнсиja замењује националног службеника за одобравање у његовом одсуству.</w:t>
      </w:r>
    </w:p>
    <w:p w14:paraId="6536CC52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5. Одређује се Министарство финансија – Одељење за нацио</w:t>
      </w:r>
      <w:r>
        <w:rPr>
          <w:rFonts w:ascii="Verdana" w:eastAsia="Verdana" w:hAnsi="Verdana" w:cs="Verdana"/>
        </w:rPr>
        <w:t>нални фонд за управљање средствима Европске уније којим руководи начелник Одељења у оквиру Сектора за управљање средствима Европске уније, за Национални фонд у управљачкој структури националног службеника за одобравање.</w:t>
      </w:r>
    </w:p>
    <w:p w14:paraId="024943AE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lastRenderedPageBreak/>
        <w:t>6. Одређује се Министарство финансиј</w:t>
      </w:r>
      <w:r>
        <w:rPr>
          <w:rFonts w:ascii="Verdana" w:eastAsia="Verdana" w:hAnsi="Verdana" w:cs="Verdana"/>
        </w:rPr>
        <w:t>а – Одељење за надзор и праћење функционисања система управљања средствима Европске уније којим руководи начелник Одељења у оквиру Сектора за управљање средствима Европске уније, за Тело за подршку националном службенику за одобравање у управљачкој структу</w:t>
      </w:r>
      <w:r>
        <w:rPr>
          <w:rFonts w:ascii="Verdana" w:eastAsia="Verdana" w:hAnsi="Verdana" w:cs="Verdana"/>
        </w:rPr>
        <w:t>ри националног службеника за одобравање.</w:t>
      </w:r>
    </w:p>
    <w:p w14:paraId="4FB60E2D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7. Одређује се Министарство за европске интеграције – Сектор за планирање, програмирање, праћење и извештавање о средствима Европске уније и развојној помоћи, за Тело за координацију програмирања, праћење и вреднова</w:t>
      </w:r>
      <w:r>
        <w:rPr>
          <w:rFonts w:ascii="Verdana" w:eastAsia="Verdana" w:hAnsi="Verdana" w:cs="Verdana"/>
        </w:rPr>
        <w:t>ње у оперативној структури за управљање акционим програмима претприступне помоћи у оквиру ИПА II.</w:t>
      </w:r>
    </w:p>
    <w:p w14:paraId="164AB563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8. Одређује се Министарство финансија – Сектор за уговарање и финансирање програма из средстава Европске уније, за Тело за уговарање у оперативној структури з</w:t>
      </w:r>
      <w:r>
        <w:rPr>
          <w:rFonts w:ascii="Verdana" w:eastAsia="Verdana" w:hAnsi="Verdana" w:cs="Verdana"/>
        </w:rPr>
        <w:t>а управљање акционим програмима претприступне помоћи у оквиру ИПА II и у оперативној структури за управљање програмима прекограничне сарадње у оквиру ИПА II.</w:t>
      </w:r>
    </w:p>
    <w:p w14:paraId="4B1D43B2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9. За одговорно лице за послове оперативне структуре за управљање програмима прекограничне сарадње</w:t>
      </w:r>
      <w:r>
        <w:rPr>
          <w:rFonts w:ascii="Verdana" w:eastAsia="Verdana" w:hAnsi="Verdana" w:cs="Verdana"/>
        </w:rPr>
        <w:t xml:space="preserve"> у оквиру ИПА II одређује се помоћник министра који руководи Сектором за програме европске територијалне сарадње у оквиру Министарства за европске интеграције.</w:t>
      </w:r>
    </w:p>
    <w:p w14:paraId="3CBAEE5D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10. Одређује се Министарство за европске интеграције – Група за подршку управљачком органу за пр</w:t>
      </w:r>
      <w:r>
        <w:rPr>
          <w:rFonts w:ascii="Verdana" w:eastAsia="Verdana" w:hAnsi="Verdana" w:cs="Verdana"/>
        </w:rPr>
        <w:t xml:space="preserve">ограме прекограничне сарадње и руководиоцу оперативне структуре у оквиру Сектора за програме европске територијалне сарадње, за обављање стручних и административно-техничких послова за одговорно лице за послове оперативне структуре за управљање програмима </w:t>
      </w:r>
      <w:r>
        <w:rPr>
          <w:rFonts w:ascii="Verdana" w:eastAsia="Verdana" w:hAnsi="Verdana" w:cs="Verdana"/>
        </w:rPr>
        <w:t xml:space="preserve">прекограничне сарадње у оквиру ИПА II. </w:t>
      </w:r>
    </w:p>
    <w:p w14:paraId="6A57326F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 xml:space="preserve">11. Одређује се Министарство за европске интеграције – Одсек за програмирање и праћење програма прекограничне сарадње са кандидатима за чланство у ЕУ и Група за систем управљања и контроле за програме са кандидатима </w:t>
      </w:r>
      <w:r>
        <w:rPr>
          <w:rFonts w:ascii="Verdana" w:eastAsia="Verdana" w:hAnsi="Verdana" w:cs="Verdana"/>
        </w:rPr>
        <w:t>за чланство у ЕУ у оквиру Сектора за програме европске територијалне сарадње, за Тело за програме прекограничне сарадње у оперативној структури за управљање програмима прекограничне сарадње у оквиру ИПА II.</w:t>
      </w:r>
    </w:p>
    <w:p w14:paraId="2E36C58F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12. Одређује се Министарство пољопривреде, шумарс</w:t>
      </w:r>
      <w:r>
        <w:rPr>
          <w:rFonts w:ascii="Verdana" w:eastAsia="Verdana" w:hAnsi="Verdana" w:cs="Verdana"/>
        </w:rPr>
        <w:t>тва и водопривреде – Одељење за управљање ИПАРД програмом, за Управљачко тело у оперативној структури за управљање ИПАРД програмом у оквиру ИПА II.</w:t>
      </w:r>
    </w:p>
    <w:p w14:paraId="0645D4BF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13. Одређује се Министарство пољопривреде, шумарства и водопривреде – Управа за аграрна плаћања, за ИПАРД аг</w:t>
      </w:r>
      <w:r>
        <w:rPr>
          <w:rFonts w:ascii="Verdana" w:eastAsia="Verdana" w:hAnsi="Verdana" w:cs="Verdana"/>
        </w:rPr>
        <w:t>енцију у оперативној структури за управљање  ИПАРД програмом у оквиру ИПА II.</w:t>
      </w:r>
    </w:p>
    <w:p w14:paraId="3FFF560A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14. Одређује се Министарство финансија – Oдељење за сузбијање неправилности и превара у поступању са финансијским средствима Европске уније (АФКОС), за Тело за сузбијање неправил</w:t>
      </w:r>
      <w:r>
        <w:rPr>
          <w:rFonts w:ascii="Verdana" w:eastAsia="Verdana" w:hAnsi="Verdana" w:cs="Verdana"/>
        </w:rPr>
        <w:t xml:space="preserve">ности и превара у поступању са финансијским средствима Европске уније. </w:t>
      </w:r>
    </w:p>
    <w:p w14:paraId="41948F61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 xml:space="preserve">15. Даном ступања на снагу ове одлуке престаје да важи Одлука о одређивању одговорних лица и тела за управљање програмима претприступне помоћи Европске уније у оквиру инструмента за </w:t>
      </w:r>
      <w:r>
        <w:rPr>
          <w:rFonts w:ascii="Verdana" w:eastAsia="Verdana" w:hAnsi="Verdana" w:cs="Verdana"/>
        </w:rPr>
        <w:lastRenderedPageBreak/>
        <w:t>пр</w:t>
      </w:r>
      <w:r>
        <w:rPr>
          <w:rFonts w:ascii="Verdana" w:eastAsia="Verdana" w:hAnsi="Verdana" w:cs="Verdana"/>
        </w:rPr>
        <w:t>етприступну помоћ (ИПА II) за период 2014–2020. године („Службени гласник РС”, бр. 26/19, 90/21, 130/22, 29/23, 17/24 и 101/24).</w:t>
      </w:r>
    </w:p>
    <w:p w14:paraId="7B4D5C98" w14:textId="77777777" w:rsidR="001A5AA9" w:rsidRDefault="00776FC9">
      <w:pPr>
        <w:spacing w:line="210" w:lineRule="atLeast"/>
      </w:pPr>
      <w:r>
        <w:rPr>
          <w:rFonts w:ascii="Verdana" w:eastAsia="Verdana" w:hAnsi="Verdana" w:cs="Verdana"/>
        </w:rPr>
        <w:t>16. Ова одлука ступа на снагу наредног дана од дана објављивања у „Службеном гласнику Републике Србије”.</w:t>
      </w:r>
    </w:p>
    <w:p w14:paraId="61E623AF" w14:textId="77777777" w:rsidR="001A5AA9" w:rsidRDefault="00776FC9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337-6481/2025</w:t>
      </w:r>
    </w:p>
    <w:p w14:paraId="54F3E323" w14:textId="77777777" w:rsidR="001A5AA9" w:rsidRDefault="00776FC9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21. јуна 2025. године</w:t>
      </w:r>
    </w:p>
    <w:p w14:paraId="2B5DAB81" w14:textId="77777777" w:rsidR="001A5AA9" w:rsidRDefault="00776FC9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14:paraId="43893C05" w14:textId="77777777" w:rsidR="001A5AA9" w:rsidRDefault="00776FC9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14:paraId="02D06296" w14:textId="77777777" w:rsidR="001A5AA9" w:rsidRDefault="00776FC9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 xml:space="preserve">Ђуро Мацут, </w:t>
      </w:r>
      <w:r>
        <w:rPr>
          <w:rFonts w:ascii="Verdana" w:eastAsia="Verdana" w:hAnsi="Verdana" w:cs="Verdana"/>
        </w:rPr>
        <w:t>с.р.</w:t>
      </w:r>
    </w:p>
    <w:sectPr w:rsidR="001A5AA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A9"/>
    <w:rsid w:val="001A5AA9"/>
    <w:rsid w:val="007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7044"/>
  <w15:docId w15:val="{A1C763B9-5D9C-4971-A402-D0F58657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dcterms:created xsi:type="dcterms:W3CDTF">2025-06-24T22:54:00Z</dcterms:created>
  <dcterms:modified xsi:type="dcterms:W3CDTF">2025-06-24T22:54:00Z</dcterms:modified>
</cp:coreProperties>
</file>