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6CF" w:rsidRPr="00BE13F5" w:rsidRDefault="00BE13F5">
      <w:pPr>
        <w:spacing w:line="210" w:lineRule="atLeast"/>
        <w:rPr>
          <w:rFonts w:ascii="Times New Roman" w:hAnsi="Times New Roman" w:cs="Times New Roman"/>
        </w:rPr>
      </w:pPr>
      <w:r w:rsidRPr="00BE13F5">
        <w:rPr>
          <w:rFonts w:ascii="Times New Roman" w:eastAsia="Verdana" w:hAnsi="Times New Roman" w:cs="Times New Roman"/>
          <w:color w:val="000000"/>
        </w:rPr>
        <w:t xml:space="preserve">Преузето са </w:t>
      </w:r>
      <w:hyperlink r:id="rId4" w:history="1">
        <w:r w:rsidRPr="00BE13F5">
          <w:rPr>
            <w:rFonts w:ascii="Times New Roman" w:eastAsia="Verdana" w:hAnsi="Times New Roman" w:cs="Times New Roman"/>
            <w:color w:val="337AB7"/>
          </w:rPr>
          <w:t>https://pravno-informacioni-sistem.rs</w:t>
        </w:r>
      </w:hyperlink>
    </w:p>
    <w:p w:rsidR="009A46CF" w:rsidRPr="00BE13F5" w:rsidRDefault="00BE13F5">
      <w:pPr>
        <w:spacing w:line="210" w:lineRule="atLeast"/>
        <w:rPr>
          <w:rFonts w:ascii="Times New Roman" w:hAnsi="Times New Roman" w:cs="Times New Roman"/>
        </w:rPr>
      </w:pPr>
      <w:r w:rsidRPr="00BE13F5">
        <w:rPr>
          <w:rFonts w:ascii="Times New Roman" w:eastAsia="Verdana" w:hAnsi="Times New Roman" w:cs="Times New Roman"/>
          <w:color w:val="000000"/>
        </w:rPr>
        <w:t>Службени гласник РС 75/2024, Датум: 6.9.2024.</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b/>
        </w:rPr>
        <w:t>4000</w:t>
      </w:r>
    </w:p>
    <w:p w:rsidR="009A46CF" w:rsidRPr="00BE13F5" w:rsidRDefault="00BE13F5" w:rsidP="00BE13F5">
      <w:pPr>
        <w:spacing w:line="210" w:lineRule="atLeast"/>
        <w:jc w:val="center"/>
        <w:rPr>
          <w:rFonts w:ascii="Times New Roman" w:hAnsi="Times New Roman" w:cs="Times New Roman"/>
        </w:rPr>
      </w:pPr>
      <w:r w:rsidRPr="00BE13F5">
        <w:rPr>
          <w:rFonts w:ascii="Times New Roman" w:eastAsia="Verdana" w:hAnsi="Times New Roman" w:cs="Times New Roman"/>
        </w:rPr>
        <w:t>На основу члана 7a став 5. Закона о пољопривреди и руралном развоју („Службени гласник РС”, бр. 41/09, 10/13 – др. закон, 101/16, 67/21 – др. закон и 114/21),</w:t>
      </w:r>
    </w:p>
    <w:p w:rsidR="009A46CF" w:rsidRPr="00BE13F5" w:rsidRDefault="00BE13F5">
      <w:pPr>
        <w:spacing w:line="210" w:lineRule="atLeast"/>
        <w:rPr>
          <w:rFonts w:ascii="Times New Roman" w:hAnsi="Times New Roman" w:cs="Times New Roman"/>
        </w:rPr>
      </w:pPr>
      <w:r w:rsidRPr="00BE13F5">
        <w:rPr>
          <w:rFonts w:ascii="Times New Roman" w:eastAsia="Verdana" w:hAnsi="Times New Roman" w:cs="Times New Roman"/>
        </w:rPr>
        <w:t>Министар пољопривреде, шумарства и водопривреде доноси</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b/>
        </w:rPr>
        <w:t>ПРАВИЛНИК</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b/>
        </w:rPr>
        <w:t>о методологији утврђивања рефере</w:t>
      </w:r>
      <w:r w:rsidRPr="00BE13F5">
        <w:rPr>
          <w:rFonts w:ascii="Times New Roman" w:eastAsia="Verdana" w:hAnsi="Times New Roman" w:cs="Times New Roman"/>
          <w:b/>
        </w:rPr>
        <w:t>нтних цена за утврђивање основице за обрачун ИПАРД подстицаја у оквиру ИПАРД III програма</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1.</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Овим правилником ближе се прописује методологија утврђивања референтних цена за утврђивање основице за обрачун ИПАРД подстицаја, у оквиру ИПАРД III програма з</w:t>
      </w:r>
      <w:r w:rsidRPr="00BE13F5">
        <w:rPr>
          <w:rFonts w:ascii="Times New Roman" w:eastAsia="Verdana" w:hAnsi="Times New Roman" w:cs="Times New Roman"/>
        </w:rPr>
        <w:t>а Републику Србију за период 2021–2027. године (у даљем тексту: ИПАРД III програм).</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2.</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Поједини изрази употребљени у овом правилнику имају следећа значења: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1) </w:t>
      </w:r>
      <w:r w:rsidRPr="00BE13F5">
        <w:rPr>
          <w:rFonts w:ascii="Times New Roman" w:eastAsia="Verdana" w:hAnsi="Times New Roman" w:cs="Times New Roman"/>
          <w:i/>
        </w:rPr>
        <w:t>апсолутна варијација</w:t>
      </w:r>
      <w:r w:rsidRPr="00BE13F5">
        <w:rPr>
          <w:rFonts w:ascii="Times New Roman" w:eastAsia="Verdana" w:hAnsi="Times New Roman" w:cs="Times New Roman"/>
        </w:rPr>
        <w:t xml:space="preserve"> јесте разлика између просечног износа цене ставке инвестиције и износа </w:t>
      </w:r>
      <w:r w:rsidRPr="00BE13F5">
        <w:rPr>
          <w:rFonts w:ascii="Times New Roman" w:eastAsia="Verdana" w:hAnsi="Times New Roman" w:cs="Times New Roman"/>
        </w:rPr>
        <w:t>цене ставке инвестиције;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2) </w:t>
      </w:r>
      <w:r w:rsidRPr="00BE13F5">
        <w:rPr>
          <w:rFonts w:ascii="Times New Roman" w:eastAsia="Verdana" w:hAnsi="Times New Roman" w:cs="Times New Roman"/>
          <w:i/>
        </w:rPr>
        <w:t>аритметичка средина</w:t>
      </w:r>
      <w:r w:rsidRPr="00BE13F5">
        <w:rPr>
          <w:rFonts w:ascii="Times New Roman" w:eastAsia="Verdana" w:hAnsi="Times New Roman" w:cs="Times New Roman"/>
        </w:rPr>
        <w:t xml:space="preserve"> јесте просечна вредност ставки инвестиција, која се добија тако што се збир износа свих ставки инвестиција, подели са бројем ставки инвестиција који учествују у добијању збира;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3) </w:t>
      </w:r>
      <w:r w:rsidRPr="00BE13F5">
        <w:rPr>
          <w:rFonts w:ascii="Times New Roman" w:eastAsia="Verdana" w:hAnsi="Times New Roman" w:cs="Times New Roman"/>
          <w:i/>
        </w:rPr>
        <w:t>добављач</w:t>
      </w:r>
      <w:r w:rsidRPr="00BE13F5">
        <w:rPr>
          <w:rFonts w:ascii="Times New Roman" w:eastAsia="Verdana" w:hAnsi="Times New Roman" w:cs="Times New Roman"/>
        </w:rPr>
        <w:t xml:space="preserve"> јесте лице које има</w:t>
      </w:r>
      <w:r w:rsidRPr="00BE13F5">
        <w:rPr>
          <w:rFonts w:ascii="Times New Roman" w:eastAsia="Verdana" w:hAnsi="Times New Roman" w:cs="Times New Roman"/>
        </w:rPr>
        <w:t xml:space="preserve"> својство трговца у складу са законом којим се уређује трговина и које подносиоцу захтева за остваривање права на ИПАРД подстицаје издаје понуду, односно рачун за набавку предмета инвестиције;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4) </w:t>
      </w:r>
      <w:r w:rsidRPr="00BE13F5">
        <w:rPr>
          <w:rFonts w:ascii="Times New Roman" w:eastAsia="Verdana" w:hAnsi="Times New Roman" w:cs="Times New Roman"/>
          <w:i/>
        </w:rPr>
        <w:t>општи трошак</w:t>
      </w:r>
      <w:r w:rsidRPr="00BE13F5">
        <w:rPr>
          <w:rFonts w:ascii="Times New Roman" w:eastAsia="Verdana" w:hAnsi="Times New Roman" w:cs="Times New Roman"/>
        </w:rPr>
        <w:t xml:space="preserve"> јесте издатак за консултантске и остале стручне</w:t>
      </w:r>
      <w:r w:rsidRPr="00BE13F5">
        <w:rPr>
          <w:rFonts w:ascii="Times New Roman" w:eastAsia="Verdana" w:hAnsi="Times New Roman" w:cs="Times New Roman"/>
        </w:rPr>
        <w:t xml:space="preserve"> услуге за припрему, прибављање, односно израду документације за остваривање права на одобравање пројекта, као и за остваривање права на одобравање исплате ИПАРД подстицаја, у складу са ИПАРД III програмом и посебним прописом којим се уређују услови и начи</w:t>
      </w:r>
      <w:r w:rsidRPr="00BE13F5">
        <w:rPr>
          <w:rFonts w:ascii="Times New Roman" w:eastAsia="Verdana" w:hAnsi="Times New Roman" w:cs="Times New Roman"/>
        </w:rPr>
        <w:t>н остваривања права на поједину врсту ИПАРД подстицаја;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5) </w:t>
      </w:r>
      <w:r w:rsidRPr="00BE13F5">
        <w:rPr>
          <w:rFonts w:ascii="Times New Roman" w:eastAsia="Verdana" w:hAnsi="Times New Roman" w:cs="Times New Roman"/>
          <w:i/>
        </w:rPr>
        <w:t xml:space="preserve">понуда </w:t>
      </w:r>
      <w:r w:rsidRPr="00BE13F5">
        <w:rPr>
          <w:rFonts w:ascii="Times New Roman" w:eastAsia="Verdana" w:hAnsi="Times New Roman" w:cs="Times New Roman"/>
        </w:rPr>
        <w:t>јесте предрачун, профактура, предуговор или друга врста понуде која садржи: назив и седиште добављача; датум издавања; назив произвођача, годину производње и тип, односно модел опреме, машин</w:t>
      </w:r>
      <w:r w:rsidRPr="00BE13F5">
        <w:rPr>
          <w:rFonts w:ascii="Times New Roman" w:eastAsia="Verdana" w:hAnsi="Times New Roman" w:cs="Times New Roman"/>
        </w:rPr>
        <w:t>е, механизације, дрона или возила; укупну цену; податке о порезу на додату вредност; као и друге податке који се односе на набавку предмета инвестиције, у складу са посебним прописом којим се уређују услови и начин остваривања права на поједину врсту ИПАРД</w:t>
      </w:r>
      <w:r w:rsidRPr="00BE13F5">
        <w:rPr>
          <w:rFonts w:ascii="Times New Roman" w:eastAsia="Verdana" w:hAnsi="Times New Roman" w:cs="Times New Roman"/>
        </w:rPr>
        <w:t xml:space="preserve"> подстицаја;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6) </w:t>
      </w:r>
      <w:r w:rsidRPr="00BE13F5">
        <w:rPr>
          <w:rFonts w:ascii="Times New Roman" w:eastAsia="Verdana" w:hAnsi="Times New Roman" w:cs="Times New Roman"/>
          <w:i/>
        </w:rPr>
        <w:t>прихватљиви износи цена ставке инвестиције</w:t>
      </w:r>
      <w:r w:rsidRPr="00BE13F5">
        <w:rPr>
          <w:rFonts w:ascii="Times New Roman" w:eastAsia="Verdana" w:hAnsi="Times New Roman" w:cs="Times New Roman"/>
        </w:rPr>
        <w:t xml:space="preserve"> јесу износи прихватљивих цена код којих су апсолутне варијације износа цена ставке инвестиције једнаке или мање од просечне апсолутне варијације износа свих цена ставке инвестиције, а која се увећа</w:t>
      </w:r>
      <w:r w:rsidRPr="00BE13F5">
        <w:rPr>
          <w:rFonts w:ascii="Times New Roman" w:eastAsia="Verdana" w:hAnsi="Times New Roman" w:cs="Times New Roman"/>
        </w:rPr>
        <w:t>ва за 30% од просечне апсолутне варијације износа свих цена ставке инвестиције;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7) </w:t>
      </w:r>
      <w:r w:rsidRPr="00BE13F5">
        <w:rPr>
          <w:rFonts w:ascii="Times New Roman" w:eastAsia="Verdana" w:hAnsi="Times New Roman" w:cs="Times New Roman"/>
          <w:i/>
        </w:rPr>
        <w:t>просечан износ цена ставке инвестиције</w:t>
      </w:r>
      <w:r w:rsidRPr="00BE13F5">
        <w:rPr>
          <w:rFonts w:ascii="Times New Roman" w:eastAsia="Verdana" w:hAnsi="Times New Roman" w:cs="Times New Roman"/>
        </w:rPr>
        <w:t xml:space="preserve"> јесте аритметичка средина свих прикупљених прихватљивих цена, изражених у динарима, без пореза на додату вредност и других трошкова ко</w:t>
      </w:r>
      <w:r w:rsidRPr="00BE13F5">
        <w:rPr>
          <w:rFonts w:ascii="Times New Roman" w:eastAsia="Verdana" w:hAnsi="Times New Roman" w:cs="Times New Roman"/>
        </w:rPr>
        <w:t>ји нису прихватљиви за финансирање у складу са ИПАРД III програмом и посебним прописом којим се уређују услови и начин остваривања права на поједину врсту ИПАРД подстицаја;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lastRenderedPageBreak/>
        <w:t xml:space="preserve">8) </w:t>
      </w:r>
      <w:r w:rsidRPr="00BE13F5">
        <w:rPr>
          <w:rFonts w:ascii="Times New Roman" w:eastAsia="Verdana" w:hAnsi="Times New Roman" w:cs="Times New Roman"/>
          <w:i/>
        </w:rPr>
        <w:t xml:space="preserve">просечна апсолутна варијација </w:t>
      </w:r>
      <w:r w:rsidRPr="00BE13F5">
        <w:rPr>
          <w:rFonts w:ascii="Times New Roman" w:eastAsia="Verdana" w:hAnsi="Times New Roman" w:cs="Times New Roman"/>
        </w:rPr>
        <w:t>јесте аритметичка средина свих апсолутних варијаци</w:t>
      </w:r>
      <w:r w:rsidRPr="00BE13F5">
        <w:rPr>
          <w:rFonts w:ascii="Times New Roman" w:eastAsia="Verdana" w:hAnsi="Times New Roman" w:cs="Times New Roman"/>
        </w:rPr>
        <w:t>ја износа цена ставки инвестиција;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9) </w:t>
      </w:r>
      <w:r w:rsidRPr="00BE13F5">
        <w:rPr>
          <w:rFonts w:ascii="Times New Roman" w:eastAsia="Verdana" w:hAnsi="Times New Roman" w:cs="Times New Roman"/>
          <w:i/>
        </w:rPr>
        <w:t>референтна цена</w:t>
      </w:r>
      <w:r w:rsidRPr="00BE13F5">
        <w:rPr>
          <w:rFonts w:ascii="Times New Roman" w:eastAsia="Verdana" w:hAnsi="Times New Roman" w:cs="Times New Roman"/>
        </w:rPr>
        <w:t xml:space="preserve"> је цена инвестиције или дела инвестиције која се утврђује на основу тржишне цене и служи за утврђивање основице за обрачун ИПАРД подстицаја, у складу са законом којим се уређује пољопривреда и рурални р</w:t>
      </w:r>
      <w:r w:rsidRPr="00BE13F5">
        <w:rPr>
          <w:rFonts w:ascii="Times New Roman" w:eastAsia="Verdana" w:hAnsi="Times New Roman" w:cs="Times New Roman"/>
        </w:rPr>
        <w:t>азвој и овим правилником;</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10) </w:t>
      </w:r>
      <w:r w:rsidRPr="00BE13F5">
        <w:rPr>
          <w:rFonts w:ascii="Times New Roman" w:eastAsia="Verdana" w:hAnsi="Times New Roman" w:cs="Times New Roman"/>
          <w:i/>
        </w:rPr>
        <w:t xml:space="preserve">ставка инвестиције </w:t>
      </w:r>
      <w:r w:rsidRPr="00BE13F5">
        <w:rPr>
          <w:rFonts w:ascii="Times New Roman" w:eastAsia="Verdana" w:hAnsi="Times New Roman" w:cs="Times New Roman"/>
        </w:rPr>
        <w:t xml:space="preserve">јесте појединачна врста робе, услуге или радова која се налази на листи прихватљивих инвестиција и трошкова, у складу са посебним прописом којим се уређују услови и начин остваривања права на поједину врсту </w:t>
      </w:r>
      <w:r w:rsidRPr="00BE13F5">
        <w:rPr>
          <w:rFonts w:ascii="Times New Roman" w:eastAsia="Verdana" w:hAnsi="Times New Roman" w:cs="Times New Roman"/>
        </w:rPr>
        <w:t xml:space="preserve">ИПАРД подстицаја; </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11) </w:t>
      </w:r>
      <w:r w:rsidRPr="00BE13F5">
        <w:rPr>
          <w:rFonts w:ascii="Times New Roman" w:eastAsia="Verdana" w:hAnsi="Times New Roman" w:cs="Times New Roman"/>
          <w:i/>
        </w:rPr>
        <w:t xml:space="preserve">техничкa документацијa за изградњу објеката, односно извођење радова </w:t>
      </w:r>
      <w:r w:rsidRPr="00BE13F5">
        <w:rPr>
          <w:rFonts w:ascii="Times New Roman" w:eastAsia="Verdana" w:hAnsi="Times New Roman" w:cs="Times New Roman"/>
        </w:rPr>
        <w:t>јесте идејни пројекат, пројекат за грађевинску дозволу и пројекат за извођење, у складу са посебним прописом којим се уређује садржина, начин и поступак израде и на</w:t>
      </w:r>
      <w:r w:rsidRPr="00BE13F5">
        <w:rPr>
          <w:rFonts w:ascii="Times New Roman" w:eastAsia="Verdana" w:hAnsi="Times New Roman" w:cs="Times New Roman"/>
        </w:rPr>
        <w:t>чин вршења контроле техничке документације према класи и намени објеката;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12) </w:t>
      </w:r>
      <w:r w:rsidRPr="00BE13F5">
        <w:rPr>
          <w:rFonts w:ascii="Times New Roman" w:eastAsia="Verdana" w:hAnsi="Times New Roman" w:cs="Times New Roman"/>
          <w:i/>
        </w:rPr>
        <w:t>трошкови за припрему техничке документације за изградњу објеката, односно извођење радова</w:t>
      </w:r>
      <w:r w:rsidRPr="00BE13F5">
        <w:rPr>
          <w:rFonts w:ascii="Times New Roman" w:eastAsia="Verdana" w:hAnsi="Times New Roman" w:cs="Times New Roman"/>
        </w:rPr>
        <w:t xml:space="preserve"> јесу трошкови за: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(1) израду идејног пројекта за потребе подношења захтева за остваривање права на ИПАРД подстицаје за инвестиције у изградњу објеката у складу са посебним прописом којим се уређују услови и начин остваривања права на поједину врсту ИПАРД подстицаја,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(2) изр</w:t>
      </w:r>
      <w:r w:rsidRPr="00BE13F5">
        <w:rPr>
          <w:rFonts w:ascii="Times New Roman" w:eastAsia="Verdana" w:hAnsi="Times New Roman" w:cs="Times New Roman"/>
        </w:rPr>
        <w:t xml:space="preserve">аду идејног пројекта за потребе прибављања решења о одобрењу за извођење радова, </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(3) израду пројекта за грађевинску дозволу за потребе прибављања грађевинске дозволе, </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(4) техничку контролу пројекта за грађевинску дозволу, у случајевима када је обавеза вр</w:t>
      </w:r>
      <w:r w:rsidRPr="00BE13F5">
        <w:rPr>
          <w:rFonts w:ascii="Times New Roman" w:eastAsia="Verdana" w:hAnsi="Times New Roman" w:cs="Times New Roman"/>
        </w:rPr>
        <w:t>шења техничке контроле пројекта прописана посебним прописом којим се уређује садржина, начин и поступак израде и начин вршења контроле техничке документације према класи и намени објеката,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(5) израду пројекта за извођење за грађење објеката за које је приб</w:t>
      </w:r>
      <w:r w:rsidRPr="00BE13F5">
        <w:rPr>
          <w:rFonts w:ascii="Times New Roman" w:eastAsia="Verdana" w:hAnsi="Times New Roman" w:cs="Times New Roman"/>
        </w:rPr>
        <w:t>ављена грађевинска дозвола, осим за објекте категорије „А”, као и за извођење радова који се врше на основу решења којим се одобрава извођење тих радова за радове за које је предвиђено прибављање сагласности на пројекат за извођење у складу са прописима ко</w:t>
      </w:r>
      <w:r w:rsidRPr="00BE13F5">
        <w:rPr>
          <w:rFonts w:ascii="Times New Roman" w:eastAsia="Verdana" w:hAnsi="Times New Roman" w:cs="Times New Roman"/>
        </w:rPr>
        <w:t>јима се уређује заштита од пожара, за радове на реконструкцији, осим за објекте категорије „А”, као и радове на реконструкцији линијских инфраструктурних објеката, осим за реконструкцију електродистрибутивне и електронске комуникационе мреже за које посебн</w:t>
      </w:r>
      <w:r w:rsidRPr="00BE13F5">
        <w:rPr>
          <w:rFonts w:ascii="Times New Roman" w:eastAsia="Verdana" w:hAnsi="Times New Roman" w:cs="Times New Roman"/>
        </w:rPr>
        <w:t>им прописом којим се уређује садржина, начин и поступак израде и начин вршења контроле техничке документације према класи и намени објеката, није прописано вршење техничке контроле идејног пројекта,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(6) стручни надзор у току грађења објекта; </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13) </w:t>
      </w:r>
      <w:r w:rsidRPr="00BE13F5">
        <w:rPr>
          <w:rFonts w:ascii="Times New Roman" w:eastAsia="Verdana" w:hAnsi="Times New Roman" w:cs="Times New Roman"/>
          <w:i/>
        </w:rPr>
        <w:t xml:space="preserve">фиксни трошак </w:t>
      </w:r>
      <w:r w:rsidRPr="00BE13F5">
        <w:rPr>
          <w:rFonts w:ascii="Times New Roman" w:eastAsia="Verdana" w:hAnsi="Times New Roman" w:cs="Times New Roman"/>
        </w:rPr>
        <w:t>јесте издатак за активности које се спроводе у оквиру мере техничка помоћ и које су одређене као фиксни трошак у складу са посебним прописом којим се уређују услови, начин и поступак спровођења мере техничка помоћ у оквиру ИПАРД III програма.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Термини изражени у овом правилнику у граматичком мушком роду подразумевају природни мушки и женски род лица на која се односе.</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3.</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Министарство надлежно за послове пољопривреде – Управа за аграрна плаћања (у даљем тексту: Управа) утврђује референтну ц</w:t>
      </w:r>
      <w:r w:rsidRPr="00BE13F5">
        <w:rPr>
          <w:rFonts w:ascii="Times New Roman" w:eastAsia="Verdana" w:hAnsi="Times New Roman" w:cs="Times New Roman"/>
        </w:rPr>
        <w:t>ену у односу на сваку ставку инвестиције, која је упоредива по својим техничко-технолошким карактеристикама.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Референтна цена може да се утврди за ставку инвестиције у целини или за поједине делове ставке инвестиције, по јединици мере површине или запремине</w:t>
      </w:r>
      <w:r w:rsidRPr="00BE13F5">
        <w:rPr>
          <w:rFonts w:ascii="Times New Roman" w:eastAsia="Verdana" w:hAnsi="Times New Roman" w:cs="Times New Roman"/>
        </w:rPr>
        <w:t xml:space="preserve"> (комаду, метру, литру и сл.).</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lastRenderedPageBreak/>
        <w:t>Референтна цена за ставку инвестиције у набавку трактора примарно се одређује у односу на основне техничке карактеристике трактора и то: номиналну снагу мотора изражену у киловатима (kW), број цилиндара мотора, тракторску каб</w:t>
      </w:r>
      <w:r w:rsidRPr="00BE13F5">
        <w:rPr>
          <w:rFonts w:ascii="Times New Roman" w:eastAsia="Verdana" w:hAnsi="Times New Roman" w:cs="Times New Roman"/>
        </w:rPr>
        <w:t>ину и постојање погона на точковима.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Референтна цена за ставку инвестиције у набавку возила примарно се одређује у односу на врсту, тип, односно категорију возила у смислу посебног прописа којим се уређује подела моторних и прикључних возила и технички усл</w:t>
      </w:r>
      <w:r w:rsidRPr="00BE13F5">
        <w:rPr>
          <w:rFonts w:ascii="Times New Roman" w:eastAsia="Verdana" w:hAnsi="Times New Roman" w:cs="Times New Roman"/>
        </w:rPr>
        <w:t>ови за возила у саобраћају на путевима; врсту и намену возила у смислу посебног прописа којим се уређују услови и начин остваривања права на поједину врсту ИПАРД подстицаја; као и основне техничке карактеристике возила и то: снагу мотора изражену у киловат</w:t>
      </w:r>
      <w:r w:rsidRPr="00BE13F5">
        <w:rPr>
          <w:rFonts w:ascii="Times New Roman" w:eastAsia="Verdana" w:hAnsi="Times New Roman" w:cs="Times New Roman"/>
        </w:rPr>
        <w:t>има (kW) и врсту горива или погона.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За машине, механизацију и опрему, ставке инвестиције се одређују с обзиром на поједине врсте машине, механизације и опреме које су упоредиве по техничким карактеристикама, и то примарно с обзиром на следеће критеријуме: </w:t>
      </w:r>
      <w:r w:rsidRPr="00BE13F5">
        <w:rPr>
          <w:rFonts w:ascii="Times New Roman" w:eastAsia="Verdana" w:hAnsi="Times New Roman" w:cs="Times New Roman"/>
        </w:rPr>
        <w:t>излазну снагу мотора машине; потребну снагу коју прикључна механизација захтева за нормалан рад изражену у киловатима (kW); потрошњу енергије; радни капацитет механизације изражен у одговарајућој јединици мере (тона, килограм, кубни метар, метар, литар и с</w:t>
      </w:r>
      <w:r w:rsidRPr="00BE13F5">
        <w:rPr>
          <w:rFonts w:ascii="Times New Roman" w:eastAsia="Verdana" w:hAnsi="Times New Roman" w:cs="Times New Roman"/>
        </w:rPr>
        <w:t>л.); броју редова; да ли је прикључна машина ношена или вучена.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За одређивање ставке инвестиције могу се узети у обзир и други критеријуми који значајно утичу на формирање референтне цене, као што су различите врсте опреме, различити пакети опреме, највећа</w:t>
      </w:r>
      <w:r w:rsidRPr="00BE13F5">
        <w:rPr>
          <w:rFonts w:ascii="Times New Roman" w:eastAsia="Verdana" w:hAnsi="Times New Roman" w:cs="Times New Roman"/>
        </w:rPr>
        <w:t xml:space="preserve"> дозвољена маса, маса, радна запремина мотора, као и други додаци који утичу на функционалност, односно цену возила, механизације, машине, односно опреме.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Ставке инвестиција у системе за наводњавање, системе за заштиту од града, као и објекте пластеника и </w:t>
      </w:r>
      <w:r w:rsidRPr="00BE13F5">
        <w:rPr>
          <w:rFonts w:ascii="Times New Roman" w:eastAsia="Verdana" w:hAnsi="Times New Roman" w:cs="Times New Roman"/>
        </w:rPr>
        <w:t xml:space="preserve">стакленика, по правилу се утврђују по јединици мере опремања, односно површини парцеле на којој се инсталира опрема, а ако то није могуће услед непостојања довољно релевантних података за утврђивање референтне цене у складу са овим правилником, референтна </w:t>
      </w:r>
      <w:r w:rsidRPr="00BE13F5">
        <w:rPr>
          <w:rFonts w:ascii="Times New Roman" w:eastAsia="Verdana" w:hAnsi="Times New Roman" w:cs="Times New Roman"/>
        </w:rPr>
        <w:t xml:space="preserve">цена се утврђује за поједине елементе ових система, односно објеката. </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Ставке инвестиција у изградњу објеката одређују се с обзиром на врсту изградње, односно грађење новог објекта или реконструкцију, доградњу, адаптацију, санацију, инвестиционо одржавање </w:t>
      </w:r>
      <w:r w:rsidRPr="00BE13F5">
        <w:rPr>
          <w:rFonts w:ascii="Times New Roman" w:eastAsia="Verdana" w:hAnsi="Times New Roman" w:cs="Times New Roman"/>
        </w:rPr>
        <w:t>постојећег објекта; као и с обзиром на врсту, намену и категорију објекта, односно врсте прихватљивих радова и трошкова у оквиру инвестиције у изградњу објекта у складу са листом прихватљивих инвестиција и трошкова прописаном посебним прописом којим се уре</w:t>
      </w:r>
      <w:r w:rsidRPr="00BE13F5">
        <w:rPr>
          <w:rFonts w:ascii="Times New Roman" w:eastAsia="Verdana" w:hAnsi="Times New Roman" w:cs="Times New Roman"/>
        </w:rPr>
        <w:t>ђују услови и начин остваривања права на поједину врсту ИПАРД подстицаја.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Референтна цена за ставку инвестиције у изградњу објекта утврђује се по јединици мере површине, односно површине и запремине, тако што се укупна цена трошкова објекта без пореза на д</w:t>
      </w:r>
      <w:r w:rsidRPr="00BE13F5">
        <w:rPr>
          <w:rFonts w:ascii="Times New Roman" w:eastAsia="Verdana" w:hAnsi="Times New Roman" w:cs="Times New Roman"/>
        </w:rPr>
        <w:t>одату вредност подели са бруто грађевинском површином објекта.</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4.</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Поступак утврђивања референтне цене за ставку инвестиције у набавку трактора, возила, машине, механизације и опреме, као и подизање засада, започиње прикупљањем прихватљивих цена ставке</w:t>
      </w:r>
      <w:r w:rsidRPr="00BE13F5">
        <w:rPr>
          <w:rFonts w:ascii="Times New Roman" w:eastAsia="Verdana" w:hAnsi="Times New Roman" w:cs="Times New Roman"/>
        </w:rPr>
        <w:t xml:space="preserve"> инвестиције, и то:</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1) из понуда, односно рачуна који садрже цену за ставку инвестиције и који су достављени Управи у прилогу захтева за остваривање права на ИПАРД подстицаје; </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2) путем истраживања тржишта, и то:</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(1) прикупљањем јавно доступних података о </w:t>
      </w:r>
      <w:r w:rsidRPr="00BE13F5">
        <w:rPr>
          <w:rFonts w:ascii="Times New Roman" w:eastAsia="Verdana" w:hAnsi="Times New Roman" w:cs="Times New Roman"/>
        </w:rPr>
        <w:t xml:space="preserve">ценама ставке инвестиције у оквиру понуда, каталога и ценовника објављених на званичним интернет страницама добављача или на привредним или сајамским манифестацијама, </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(2) непосредним прибављањем података о ценама ставке инвестиције од добављача.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lastRenderedPageBreak/>
        <w:t>Цене из р</w:t>
      </w:r>
      <w:r w:rsidRPr="00BE13F5">
        <w:rPr>
          <w:rFonts w:ascii="Times New Roman" w:eastAsia="Verdana" w:hAnsi="Times New Roman" w:cs="Times New Roman"/>
        </w:rPr>
        <w:t>ачуна који су достављене Управи у прилогу захтева за остваривање права на ИПАРД подстицаје из става 1. тачка 1) овог члана, сматрају се прихватљивим у поступку утврђивања референтне цене до краја наредне календарске године у односу на годину у којој је изд</w:t>
      </w:r>
      <w:r w:rsidRPr="00BE13F5">
        <w:rPr>
          <w:rFonts w:ascii="Times New Roman" w:eastAsia="Verdana" w:hAnsi="Times New Roman" w:cs="Times New Roman"/>
        </w:rPr>
        <w:t>ат предметни рачун.</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Цене из понуда које су достављене Управи у прилогу захтева за остваривање права на ИПАРД подстицаје из става 1. тачка 1) овог члана, као и цене прикупљене путем истраживања тржишта из става 1. тачка 2) овог члана, сматрају се прихватљив</w:t>
      </w:r>
      <w:r w:rsidRPr="00BE13F5">
        <w:rPr>
          <w:rFonts w:ascii="Times New Roman" w:eastAsia="Verdana" w:hAnsi="Times New Roman" w:cs="Times New Roman"/>
        </w:rPr>
        <w:t xml:space="preserve">им у поступку утврђивања референтне цене, ако су важеће према року важења наведеном на понуди, каталогу, ценовнику, односно непосредно прибављеном податку о цени ставке инвестиције од добављача, а најкасније до краја наредне календарске године у односу на </w:t>
      </w:r>
      <w:r w:rsidRPr="00BE13F5">
        <w:rPr>
          <w:rFonts w:ascii="Times New Roman" w:eastAsia="Verdana" w:hAnsi="Times New Roman" w:cs="Times New Roman"/>
        </w:rPr>
        <w:t>годину у којој је издата предметна понуда, каталог или ценовник, односно годину у којој је непосредно прибављен податку о цени ставке инвестиције од добављача.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Ако понуда, каталог, ценовник, односно непосредно прибављен податак о цени ставке инвестиције од</w:t>
      </w:r>
      <w:r w:rsidRPr="00BE13F5">
        <w:rPr>
          <w:rFonts w:ascii="Times New Roman" w:eastAsia="Verdana" w:hAnsi="Times New Roman" w:cs="Times New Roman"/>
        </w:rPr>
        <w:t xml:space="preserve"> добављача из става 3. овог члана не садржи рок важења, цене се сматрају прихватљивим у поступку утврђивања референтне цене до краја наредне календарске године у односу на годину у којој је издата предметна понуда, каталог или ценовник, односно годину у ко</w:t>
      </w:r>
      <w:r w:rsidRPr="00BE13F5">
        <w:rPr>
          <w:rFonts w:ascii="Times New Roman" w:eastAsia="Verdana" w:hAnsi="Times New Roman" w:cs="Times New Roman"/>
        </w:rPr>
        <w:t>јој је непосредно прибављен податак о цени ставке инвестиције од добављача.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Ако се у поступку утрђивања референтне цене прикупи више цена истог добављача за исту ставку инвестиције, прихватљивом ценом се сматра најнижа цена.</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5.</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После прикупљања прихва</w:t>
      </w:r>
      <w:r w:rsidRPr="00BE13F5">
        <w:rPr>
          <w:rFonts w:ascii="Times New Roman" w:eastAsia="Verdana" w:hAnsi="Times New Roman" w:cs="Times New Roman"/>
        </w:rPr>
        <w:t>тљивих цена за ставку инвестиције из члана 4. овог правилника, Управа утврђује просечан износ цена ставке инвестиције израчунавањем аритметичке средине свих прикупљених прихватљивих цена, изражених у динарима, без пореза на додату вредност и других трошков</w:t>
      </w:r>
      <w:r w:rsidRPr="00BE13F5">
        <w:rPr>
          <w:rFonts w:ascii="Times New Roman" w:eastAsia="Verdana" w:hAnsi="Times New Roman" w:cs="Times New Roman"/>
        </w:rPr>
        <w:t>а који нису прихватљиви за финансирање у складу са ИПАРД III програмом и посебним прописом којим се уређују услови и начин остваривања права на поједину врсту ИПАРД подстицаја.</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6.</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После утврђивања просечног износа цена ставке инвестиције из члана 5. о</w:t>
      </w:r>
      <w:r w:rsidRPr="00BE13F5">
        <w:rPr>
          <w:rFonts w:ascii="Times New Roman" w:eastAsia="Verdana" w:hAnsi="Times New Roman" w:cs="Times New Roman"/>
        </w:rPr>
        <w:t>вог правилника, Управа за сваку прихватљиву цену утврђује апсолутну варијацију износа за сваку цену ставке инвестиције, која представља разлику између просечног износа ставке инвестиције и прихватљиве цене инвестиције.</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7.</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После утврђивања апсолутних варијација износа цене ставке инвестиције за сваку прихватљиву цену инвестиције из члана 6. овог правилника, Управа утврђује просечну апсолутну варијацију свих цена ставке инвестиције израчунавањем аритметичке средине свих апсол</w:t>
      </w:r>
      <w:r w:rsidRPr="00BE13F5">
        <w:rPr>
          <w:rFonts w:ascii="Times New Roman" w:eastAsia="Verdana" w:hAnsi="Times New Roman" w:cs="Times New Roman"/>
        </w:rPr>
        <w:t>утних варијација износа цена ставке инвестиције.</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8.</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После утврђивања просечне апсолутне варијације из члана 7. овог правилника, Управа утврђује прихватљиве износе цена ставке инвестиције који представљају износе прихватљивих цена код којих су апсолутн</w:t>
      </w:r>
      <w:r w:rsidRPr="00BE13F5">
        <w:rPr>
          <w:rFonts w:ascii="Times New Roman" w:eastAsia="Verdana" w:hAnsi="Times New Roman" w:cs="Times New Roman"/>
        </w:rPr>
        <w:t>е варијације износа цена ставке инвестиције једнаке или мање од просечне апсолутне варијације износа свих цена ставке инвестиције, а која се увећава за 30% од просечне апсолутне варијације износа свих цена ставке инвестиције.</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9.</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Израчунавањем аритмети</w:t>
      </w:r>
      <w:r w:rsidRPr="00BE13F5">
        <w:rPr>
          <w:rFonts w:ascii="Times New Roman" w:eastAsia="Verdana" w:hAnsi="Times New Roman" w:cs="Times New Roman"/>
        </w:rPr>
        <w:t xml:space="preserve">чке средине свих прихватљивих износа цене ставке инвестиције из члана 8. овог правилника, и њеним математичким заокруживањем на цео износ изражен у динарима, Управа утврђује износ референтне цене у динарима за ту ставку инвестиције у </w:t>
      </w:r>
      <w:r w:rsidRPr="00BE13F5">
        <w:rPr>
          <w:rFonts w:ascii="Times New Roman" w:eastAsia="Verdana" w:hAnsi="Times New Roman" w:cs="Times New Roman"/>
        </w:rPr>
        <w:lastRenderedPageBreak/>
        <w:t>набавку трактора, вози</w:t>
      </w:r>
      <w:r w:rsidRPr="00BE13F5">
        <w:rPr>
          <w:rFonts w:ascii="Times New Roman" w:eastAsia="Verdana" w:hAnsi="Times New Roman" w:cs="Times New Roman"/>
        </w:rPr>
        <w:t>ла, машине, механизације и опреме, као и инвестиције у подизање засада.</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10.</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Уколико Управа није могла да прикупи податке о ценама ставке инвестиције и утврди најмање три прихватљива износа цене ставке инвестиције у набавку трактора, возила, машине, ме</w:t>
      </w:r>
      <w:r w:rsidRPr="00BE13F5">
        <w:rPr>
          <w:rFonts w:ascii="Times New Roman" w:eastAsia="Verdana" w:hAnsi="Times New Roman" w:cs="Times New Roman"/>
        </w:rPr>
        <w:t>ханизације и опреме, као и инвестиције у подизање засада, на начин који је прописан одредбама чл. 4–9. овог правилника, Управа утврђује референтну цену за ставку инвестиције, тако што прибавља податке о тржишним ценама те ставке инвестиције од одговарајуће</w:t>
      </w:r>
      <w:r w:rsidRPr="00BE13F5">
        <w:rPr>
          <w:rFonts w:ascii="Times New Roman" w:eastAsia="Verdana" w:hAnsi="Times New Roman" w:cs="Times New Roman"/>
        </w:rPr>
        <w:t xml:space="preserve"> стручне јавне институције (у даљем тексту: стручна јавна институција), која у ту сврху пружа стручну помоћ.</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11.</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Управа спроводи поступак утврђивања референтне цене за ставку инвестиције у изградњу објекта, на основу извештаја одговарајуће стручне јав</w:t>
      </w:r>
      <w:r w:rsidRPr="00BE13F5">
        <w:rPr>
          <w:rFonts w:ascii="Times New Roman" w:eastAsia="Verdana" w:hAnsi="Times New Roman" w:cs="Times New Roman"/>
        </w:rPr>
        <w:t>не институције, који садржи стручну процену вредности инвестиције у изградњу објекта, односно вредности појединих грађевинских радова, услуга, грађевинских производа и опреме, као и утврђену референтну цену за ту ставку инвестиције, у складу са овим правил</w:t>
      </w:r>
      <w:r w:rsidRPr="00BE13F5">
        <w:rPr>
          <w:rFonts w:ascii="Times New Roman" w:eastAsia="Verdana" w:hAnsi="Times New Roman" w:cs="Times New Roman"/>
        </w:rPr>
        <w:t>ником и посебним прописом којим се уређују услови и начин остваривања права на поједину врсту ИПАРД подстицаја.</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12.</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Цене утврђене на основу података, односно извештаја одговарајуће стручне јавне институције из чл. 10. и 11. овог правилника, сматрају се прихватљивим у поступку утврђивања референтне цене у року од 12 месеци од дана издавања извештаја одговарајуће стручне </w:t>
      </w:r>
      <w:r w:rsidRPr="00BE13F5">
        <w:rPr>
          <w:rFonts w:ascii="Times New Roman" w:eastAsia="Verdana" w:hAnsi="Times New Roman" w:cs="Times New Roman"/>
        </w:rPr>
        <w:t>јавне институције.</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13.</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Управа спроводи поступак утврђивања референтне цене за фиксни трошак, на основу провере оправданости трошка из докумената који потврђују износ фиксних трошкова који су достављени Управи у прилогу захтева за остваривање права на </w:t>
      </w:r>
      <w:r w:rsidRPr="00BE13F5">
        <w:rPr>
          <w:rFonts w:ascii="Times New Roman" w:eastAsia="Verdana" w:hAnsi="Times New Roman" w:cs="Times New Roman"/>
        </w:rPr>
        <w:t>ИПАРД подстицаје у складу са посебним прописом којим се уређују услови, начин и поступак спровођења мере техничка помоћ у оквиру ИПАРД III програма.</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14.</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Референтна цена општих трошкова не може прећи највиши прихватљиви укупни износ општих трошкова од </w:t>
      </w:r>
      <w:r w:rsidRPr="00BE13F5">
        <w:rPr>
          <w:rFonts w:ascii="Times New Roman" w:eastAsia="Verdana" w:hAnsi="Times New Roman" w:cs="Times New Roman"/>
        </w:rPr>
        <w:t>10% од вредности прихватљивих трошкова предметне инвестиције, у складу са ИПАРД III програмом и посебним прописом којим се уређују услови и начин остваривања права на поједину врсту ИПАРД подстицаја.</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15.</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Референтна цена општих трошкова за припрему и и</w:t>
      </w:r>
      <w:r w:rsidRPr="00BE13F5">
        <w:rPr>
          <w:rFonts w:ascii="Times New Roman" w:eastAsia="Verdana" w:hAnsi="Times New Roman" w:cs="Times New Roman"/>
        </w:rPr>
        <w:t>зраду пословног плана за ИПАРД подстицаје не може прећи највиши прихватљиви износ општих трошкова за израду пословног плана за ИПАРД подстицаје, у складу са ИПАРД III програмом и посебним прописима којима се уређују услови и начин остваривања права на поје</w:t>
      </w:r>
      <w:r w:rsidRPr="00BE13F5">
        <w:rPr>
          <w:rFonts w:ascii="Times New Roman" w:eastAsia="Verdana" w:hAnsi="Times New Roman" w:cs="Times New Roman"/>
        </w:rPr>
        <w:t xml:space="preserve">дине врсте ИПАРД подстицаја. </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Референтна цена општих трошкова за припрему и израду пословног плана за ИПАРД подстицаје из става 1. овог члана не може прећи износ који се утврђује множењем основице са прописаним бројем од највише 10 дана за припрему и израд</w:t>
      </w:r>
      <w:r w:rsidRPr="00BE13F5">
        <w:rPr>
          <w:rFonts w:ascii="Times New Roman" w:eastAsia="Verdana" w:hAnsi="Times New Roman" w:cs="Times New Roman"/>
        </w:rPr>
        <w:t xml:space="preserve">у пословног плана. </w:t>
      </w:r>
    </w:p>
    <w:p w:rsidR="009A46CF" w:rsidRDefault="00BE13F5" w:rsidP="00BE13F5">
      <w:pPr>
        <w:spacing w:line="210" w:lineRule="atLeast"/>
        <w:jc w:val="both"/>
        <w:rPr>
          <w:rFonts w:ascii="Times New Roman" w:eastAsia="Verdana" w:hAnsi="Times New Roman" w:cs="Times New Roman"/>
        </w:rPr>
      </w:pPr>
      <w:r w:rsidRPr="00BE13F5">
        <w:rPr>
          <w:rFonts w:ascii="Times New Roman" w:eastAsia="Verdana" w:hAnsi="Times New Roman" w:cs="Times New Roman"/>
        </w:rPr>
        <w:t>Основица за обрачун референтне цене прихватљивих општих трошкова за припрему и израду пословног плана из става 1. овог члана представља накнаду за рад на припреми и изради пословног плана за један дан (у даљем тексту: дневница) и утврђу</w:t>
      </w:r>
      <w:r w:rsidRPr="00BE13F5">
        <w:rPr>
          <w:rFonts w:ascii="Times New Roman" w:eastAsia="Verdana" w:hAnsi="Times New Roman" w:cs="Times New Roman"/>
        </w:rPr>
        <w:t>је се прикупљањем јавно доступних података.</w:t>
      </w:r>
    </w:p>
    <w:p w:rsidR="00BE13F5" w:rsidRPr="00BE13F5" w:rsidRDefault="00BE13F5" w:rsidP="00BE13F5">
      <w:pPr>
        <w:spacing w:line="210" w:lineRule="atLeast"/>
        <w:jc w:val="both"/>
        <w:rPr>
          <w:rFonts w:ascii="Times New Roman" w:hAnsi="Times New Roman" w:cs="Times New Roman"/>
        </w:rPr>
      </w:pP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lastRenderedPageBreak/>
        <w:t>Члан 16.</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Референтна цена укупних општих трошкова за припрему техничке документације за изградњу објеката, односно извођење радова не може прећи износ од 5% од вредности прихватљивих трошкова предметне инвестиције</w:t>
      </w:r>
      <w:r w:rsidRPr="00BE13F5">
        <w:rPr>
          <w:rFonts w:ascii="Times New Roman" w:eastAsia="Verdana" w:hAnsi="Times New Roman" w:cs="Times New Roman"/>
        </w:rPr>
        <w:t xml:space="preserve"> у изградњу објекта. </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Референтна цена појединих општих трошкова за припрему техничке документације за изградњу објеката, односно извођење радова не може прећи износ од:</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1) 12 евра по квадратном метру бруто грађевинске површине – за трошкове за израду идејн</w:t>
      </w:r>
      <w:r w:rsidRPr="00BE13F5">
        <w:rPr>
          <w:rFonts w:ascii="Times New Roman" w:eastAsia="Verdana" w:hAnsi="Times New Roman" w:cs="Times New Roman"/>
        </w:rPr>
        <w:t>ог пројекта;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2) 18 евра по квадратном метру бруто грађевинске површине – за трошкове за израду пројекта за грађевинску дозволу;</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3) 7 евра по квадратном метру бруто грађевинске површине – за трошкове за израду пројекта за извођење;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4) 4% од вредности прихва</w:t>
      </w:r>
      <w:r w:rsidRPr="00BE13F5">
        <w:rPr>
          <w:rFonts w:ascii="Times New Roman" w:eastAsia="Verdana" w:hAnsi="Times New Roman" w:cs="Times New Roman"/>
        </w:rPr>
        <w:t>тљивих трошкова предметне инвестиције – за трошкове техничке контроле пројекта за грађевинску дозволу;</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5) 4% од вредности прихватљивих трошкова предметне инвестиције – за трошкове стручног надзора у току грађења објекта.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Kада се техничка документација изра</w:t>
      </w:r>
      <w:r w:rsidRPr="00BE13F5">
        <w:rPr>
          <w:rFonts w:ascii="Times New Roman" w:eastAsia="Verdana" w:hAnsi="Times New Roman" w:cs="Times New Roman"/>
        </w:rPr>
        <w:t>ђује за изградњу истог објекта, односно извођење радова на истом објекту, подносиоцу захтева се може одобрити само један од пројеката из ставa 2. тач. 1)–3) овог члана.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Референтна цена општих трошкова за израду појединих пројеката у оквиру техничке документације из става 2. тач. 1)–3) овог члана, износи:</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1) 10 евра по квадратном метру бруто грађевинске површине за израду појединачног пројекта, и то: </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(1) пројекте архитект</w:t>
      </w:r>
      <w:r w:rsidRPr="00BE13F5">
        <w:rPr>
          <w:rFonts w:ascii="Times New Roman" w:eastAsia="Verdana" w:hAnsi="Times New Roman" w:cs="Times New Roman"/>
        </w:rPr>
        <w:t>уре,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(2) грађевинске пројекте;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2) три евра по квадратном метру бруто грађевинске површине – за израду појединачног пројекта, и то: </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(1) хидротехничке инсталације,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(2) електроенергетске инсталације,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(3) телекомуникационе и сигналне инсталације,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(4) машинске</w:t>
      </w:r>
      <w:r w:rsidRPr="00BE13F5">
        <w:rPr>
          <w:rFonts w:ascii="Times New Roman" w:eastAsia="Verdana" w:hAnsi="Times New Roman" w:cs="Times New Roman"/>
        </w:rPr>
        <w:t xml:space="preserve"> инсталације,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(5) технологија,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(6) саобраћај и саобраћајна сигнализација,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(7) спољно уређење са синхрон-планом инсталација и прикључака, пејзажна архитектура и хортикултура,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(8) припремни радови (рушење, земљани радови, обезбеђење темељне јаме).</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Износ рефе</w:t>
      </w:r>
      <w:r w:rsidRPr="00BE13F5">
        <w:rPr>
          <w:rFonts w:ascii="Times New Roman" w:eastAsia="Verdana" w:hAnsi="Times New Roman" w:cs="Times New Roman"/>
        </w:rPr>
        <w:t>рентне цене изражен у еврима у ст. 2. и 4. овог члана утврђује се у динарској противвредности према месечном курсу Европске комисије у месецу који претходи месецу у коме је објављен јавни позив у оквиру којег је подносилац поднео захтев за остваривање прав</w:t>
      </w:r>
      <w:r w:rsidRPr="00BE13F5">
        <w:rPr>
          <w:rFonts w:ascii="Times New Roman" w:eastAsia="Verdana" w:hAnsi="Times New Roman" w:cs="Times New Roman"/>
        </w:rPr>
        <w:t>а на ИПАРД подстицаје.</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lastRenderedPageBreak/>
        <w:t>Члан 17.</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 xml:space="preserve">Референтна цена општих трошкова за консултантске услуге за остваривање права на ИПАРД подстицаје не може прећи износ који се утврђује множењем основице са прописаним бројем дана потребних за пружање наведених консултантских </w:t>
      </w:r>
      <w:r w:rsidRPr="00BE13F5">
        <w:rPr>
          <w:rFonts w:ascii="Times New Roman" w:eastAsia="Verdana" w:hAnsi="Times New Roman" w:cs="Times New Roman"/>
        </w:rPr>
        <w:t>услуга у зависности од врсте инвестиције, и то:</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1) 10 дана за инвестиције у набавку трактора;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2) 20 дана за инвестиције у набавку возила, машинa, механизације и опреме за примарну пољопривредну производњу;</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3) 25 дана за инвестиције у подизање засада, инвес</w:t>
      </w:r>
      <w:r w:rsidRPr="00BE13F5">
        <w:rPr>
          <w:rFonts w:ascii="Times New Roman" w:eastAsia="Verdana" w:hAnsi="Times New Roman" w:cs="Times New Roman"/>
        </w:rPr>
        <w:t>тиције у набавку опреме за диверзификацију пољопривредних газдинстава и развој пословања, као и инвестиције у набавку опреме за прераду пољопривредних производа;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4) 30 дана за инвестиције у изградњу објекта, осим објекта за клање или прераду меса и објекта</w:t>
      </w:r>
      <w:r w:rsidRPr="00BE13F5">
        <w:rPr>
          <w:rFonts w:ascii="Times New Roman" w:eastAsia="Verdana" w:hAnsi="Times New Roman" w:cs="Times New Roman"/>
        </w:rPr>
        <w:t xml:space="preserve"> за прераду млека;</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5) 40 дана за инвестиције у изградњу објекта за клање или прераду меса и објекта за прераду млека.</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18.</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Подаци о утврђеним референтним ценама нису јавно доступни трећим лицима, осим службеним лицима овлашћеним за предузимање службени</w:t>
      </w:r>
      <w:r w:rsidRPr="00BE13F5">
        <w:rPr>
          <w:rFonts w:ascii="Times New Roman" w:eastAsia="Verdana" w:hAnsi="Times New Roman" w:cs="Times New Roman"/>
        </w:rPr>
        <w:t>х радњи у поступку остваривања права на ИПАРД подстицаје у складу са ИПАРД III програмом и прописима којима се уређују ИПАРД подстицаји.</w:t>
      </w:r>
    </w:p>
    <w:p w:rsidR="009A46CF" w:rsidRPr="00BE13F5" w:rsidRDefault="00BE13F5">
      <w:pPr>
        <w:spacing w:line="210" w:lineRule="atLeast"/>
        <w:jc w:val="center"/>
        <w:rPr>
          <w:rFonts w:ascii="Times New Roman" w:hAnsi="Times New Roman" w:cs="Times New Roman"/>
        </w:rPr>
      </w:pPr>
      <w:r w:rsidRPr="00BE13F5">
        <w:rPr>
          <w:rFonts w:ascii="Times New Roman" w:eastAsia="Verdana" w:hAnsi="Times New Roman" w:cs="Times New Roman"/>
        </w:rPr>
        <w:t>Члан 19.</w:t>
      </w:r>
    </w:p>
    <w:p w:rsidR="009A46CF" w:rsidRPr="00BE13F5" w:rsidRDefault="00BE13F5" w:rsidP="00BE13F5">
      <w:pPr>
        <w:spacing w:line="210" w:lineRule="atLeast"/>
        <w:jc w:val="both"/>
        <w:rPr>
          <w:rFonts w:ascii="Times New Roman" w:hAnsi="Times New Roman" w:cs="Times New Roman"/>
        </w:rPr>
      </w:pPr>
      <w:r w:rsidRPr="00BE13F5">
        <w:rPr>
          <w:rFonts w:ascii="Times New Roman" w:eastAsia="Verdana" w:hAnsi="Times New Roman" w:cs="Times New Roman"/>
        </w:rPr>
        <w:t>Овај п</w:t>
      </w:r>
      <w:bookmarkStart w:id="0" w:name="_GoBack"/>
      <w:bookmarkEnd w:id="0"/>
      <w:r w:rsidRPr="00BE13F5">
        <w:rPr>
          <w:rFonts w:ascii="Times New Roman" w:eastAsia="Verdana" w:hAnsi="Times New Roman" w:cs="Times New Roman"/>
        </w:rPr>
        <w:t>равилник ступа на снагу наредног дана од дана објављивања у „Службеном гласнику Републике Србије”.</w:t>
      </w:r>
    </w:p>
    <w:p w:rsidR="009A46CF" w:rsidRPr="00BE13F5" w:rsidRDefault="00BE13F5">
      <w:pPr>
        <w:spacing w:line="210" w:lineRule="atLeast"/>
        <w:jc w:val="right"/>
        <w:rPr>
          <w:rFonts w:ascii="Times New Roman" w:hAnsi="Times New Roman" w:cs="Times New Roman"/>
        </w:rPr>
      </w:pPr>
      <w:r w:rsidRPr="00BE13F5">
        <w:rPr>
          <w:rFonts w:ascii="Times New Roman" w:eastAsia="Verdana" w:hAnsi="Times New Roman" w:cs="Times New Roman"/>
        </w:rPr>
        <w:t xml:space="preserve">Број </w:t>
      </w:r>
      <w:r w:rsidRPr="00BE13F5">
        <w:rPr>
          <w:rFonts w:ascii="Times New Roman" w:eastAsia="Verdana" w:hAnsi="Times New Roman" w:cs="Times New Roman"/>
        </w:rPr>
        <w:t xml:space="preserve">002404810 2024 14840 007 001 012 001 </w:t>
      </w:r>
    </w:p>
    <w:p w:rsidR="009A46CF" w:rsidRPr="00BE13F5" w:rsidRDefault="00BE13F5">
      <w:pPr>
        <w:spacing w:line="210" w:lineRule="atLeast"/>
        <w:jc w:val="right"/>
        <w:rPr>
          <w:rFonts w:ascii="Times New Roman" w:hAnsi="Times New Roman" w:cs="Times New Roman"/>
        </w:rPr>
      </w:pPr>
      <w:r w:rsidRPr="00BE13F5">
        <w:rPr>
          <w:rFonts w:ascii="Times New Roman" w:eastAsia="Verdana" w:hAnsi="Times New Roman" w:cs="Times New Roman"/>
        </w:rPr>
        <w:t>У Београду, 5. септембра 2024. године</w:t>
      </w:r>
    </w:p>
    <w:p w:rsidR="009A46CF" w:rsidRPr="00BE13F5" w:rsidRDefault="00BE13F5">
      <w:pPr>
        <w:spacing w:line="210" w:lineRule="atLeast"/>
        <w:jc w:val="right"/>
        <w:rPr>
          <w:rFonts w:ascii="Times New Roman" w:hAnsi="Times New Roman" w:cs="Times New Roman"/>
        </w:rPr>
      </w:pPr>
      <w:r w:rsidRPr="00BE13F5">
        <w:rPr>
          <w:rFonts w:ascii="Times New Roman" w:eastAsia="Verdana" w:hAnsi="Times New Roman" w:cs="Times New Roman"/>
        </w:rPr>
        <w:t>Министар,</w:t>
      </w:r>
    </w:p>
    <w:p w:rsidR="009A46CF" w:rsidRPr="00BE13F5" w:rsidRDefault="00BE13F5">
      <w:pPr>
        <w:spacing w:line="210" w:lineRule="atLeast"/>
        <w:jc w:val="right"/>
        <w:rPr>
          <w:rFonts w:ascii="Times New Roman" w:hAnsi="Times New Roman" w:cs="Times New Roman"/>
        </w:rPr>
      </w:pPr>
      <w:r w:rsidRPr="00BE13F5">
        <w:rPr>
          <w:rFonts w:ascii="Times New Roman" w:eastAsia="Verdana" w:hAnsi="Times New Roman" w:cs="Times New Roman"/>
        </w:rPr>
        <w:t xml:space="preserve">др </w:t>
      </w:r>
      <w:r w:rsidRPr="00BE13F5">
        <w:rPr>
          <w:rFonts w:ascii="Times New Roman" w:eastAsia="Verdana" w:hAnsi="Times New Roman" w:cs="Times New Roman"/>
          <w:b/>
        </w:rPr>
        <w:t>Александар Мартиновић,</w:t>
      </w:r>
      <w:r w:rsidRPr="00BE13F5">
        <w:rPr>
          <w:rFonts w:ascii="Times New Roman" w:eastAsia="Verdana" w:hAnsi="Times New Roman" w:cs="Times New Roman"/>
        </w:rPr>
        <w:t xml:space="preserve"> с.р.</w:t>
      </w:r>
    </w:p>
    <w:sectPr w:rsidR="009A46CF" w:rsidRPr="00BE13F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CF"/>
    <w:rsid w:val="009A46CF"/>
    <w:rsid w:val="00BE13F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DCD2A"/>
  <w15:docId w15:val="{6940C78A-6E97-44FA-AEF4-4EF9D069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2856</Words>
  <Characters>16799</Characters>
  <Application>Microsoft Office Word</Application>
  <DocSecurity>0</DocSecurity>
  <Lines>294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Bačević</dc:creator>
  <cp:lastModifiedBy>Aleksandra Bačević</cp:lastModifiedBy>
  <cp:revision>2</cp:revision>
  <dcterms:created xsi:type="dcterms:W3CDTF">2024-09-09T07:10:00Z</dcterms:created>
  <dcterms:modified xsi:type="dcterms:W3CDTF">2024-09-09T07:10:00Z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1418294b70b4ed7ff31ae86d765774f668f5328d8e7e95e1e84ab8e8cf4fdaf0</vt:lpwstr>
  </property>
</Properties>
</file>