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130059" w:rsidRDefault="00FA7551" w:rsidP="00FA7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3005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130059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59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130059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059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130059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1300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482A648D" w:rsidR="00FA7551" w:rsidRPr="00130059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59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1D605EF3" w14:textId="77777777" w:rsidR="00C6242B" w:rsidRPr="00130059" w:rsidRDefault="00C6242B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520A0" w14:textId="7B58D3C1" w:rsidR="00FB0992" w:rsidRPr="00130059" w:rsidRDefault="00FB0992" w:rsidP="000C132A">
      <w:pPr>
        <w:spacing w:after="15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</w:pPr>
      <w:r w:rsidRPr="00130059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13005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130059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130059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130059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130059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130059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130059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Pr="00130059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EA066A" w:rsidRPr="00130059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130059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126463" w:rsidRPr="00130059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став 1. </w:t>
      </w:r>
      <w:r w:rsidR="00B73845" w:rsidRPr="00130059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начину</w:t>
      </w:r>
      <w:proofErr w:type="spellEnd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остваривања</w:t>
      </w:r>
      <w:proofErr w:type="spellEnd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права</w:t>
      </w:r>
      <w:proofErr w:type="spellEnd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на</w:t>
      </w:r>
      <w:proofErr w:type="spellEnd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основне</w:t>
      </w:r>
      <w:proofErr w:type="spellEnd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подстицаје</w:t>
      </w:r>
      <w:proofErr w:type="spellEnd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биљној</w:t>
      </w:r>
      <w:proofErr w:type="spellEnd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производњи</w:t>
      </w:r>
      <w:proofErr w:type="spellEnd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обрасцу</w:t>
      </w:r>
      <w:proofErr w:type="spellEnd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захтева</w:t>
      </w:r>
      <w:proofErr w:type="spellEnd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за</w:t>
      </w:r>
      <w:proofErr w:type="spellEnd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остваривање</w:t>
      </w:r>
      <w:proofErr w:type="spellEnd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тих</w:t>
      </w:r>
      <w:proofErr w:type="spellEnd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подстицаја</w:t>
      </w:r>
      <w:proofErr w:type="spellEnd"/>
      <w:r w:rsidR="000C132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="00B73845" w:rsidRPr="0013005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130059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130059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бр.</w:t>
      </w:r>
      <w:r w:rsidR="000B318A" w:rsidRPr="0013005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0389C" w:rsidRPr="00C0389C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US"/>
        </w:rPr>
        <w:t> </w:t>
      </w:r>
      <w:r w:rsidR="00C0389C" w:rsidRPr="00C0389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6/2024, 26/2024 и 87/2024</w:t>
      </w:r>
      <w:r w:rsidR="00B73845" w:rsidRPr="00130059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)</w:t>
      </w:r>
      <w:r w:rsidRPr="00130059">
        <w:rPr>
          <w:rFonts w:ascii="Times New Roman" w:hAnsi="Times New Roman" w:cs="Times New Roman"/>
          <w:sz w:val="24"/>
          <w:szCs w:val="24"/>
        </w:rPr>
        <w:t>,</w:t>
      </w:r>
      <w:r w:rsidR="000B6CC0" w:rsidRPr="00130059">
        <w:rPr>
          <w:rFonts w:ascii="Times New Roman" w:hAnsi="Times New Roman" w:cs="Times New Roman"/>
          <w:sz w:val="24"/>
          <w:szCs w:val="24"/>
        </w:rPr>
        <w:t xml:space="preserve"> р</w:t>
      </w:r>
      <w:r w:rsidRPr="00130059">
        <w:rPr>
          <w:rFonts w:ascii="Times New Roman" w:hAnsi="Times New Roman" w:cs="Times New Roman"/>
          <w:sz w:val="24"/>
          <w:szCs w:val="24"/>
        </w:rPr>
        <w:t>асписује</w:t>
      </w:r>
    </w:p>
    <w:p w14:paraId="00213E05" w14:textId="24A21F85" w:rsidR="00874926" w:rsidRPr="00130059" w:rsidRDefault="00874926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9FFC64" w14:textId="77777777" w:rsidR="000C132A" w:rsidRPr="00130059" w:rsidRDefault="000C132A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0C440B" w14:textId="15274F12" w:rsidR="00FB0992" w:rsidRPr="00130059" w:rsidRDefault="00DE1C2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30059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И    П О З И В</w:t>
      </w:r>
    </w:p>
    <w:p w14:paraId="20112142" w14:textId="77777777" w:rsidR="00C6242B" w:rsidRPr="00130059" w:rsidRDefault="00C6242B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p w14:paraId="0CB71D21" w14:textId="13C77C58" w:rsidR="00EA066A" w:rsidRPr="00130059" w:rsidRDefault="00126463" w:rsidP="000C13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30059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ПОДНОШЕЊЕ </w:t>
      </w:r>
      <w:r w:rsidR="000C132A" w:rsidRPr="00130059">
        <w:rPr>
          <w:rFonts w:ascii="Times New Roman" w:eastAsia="Times New Roman" w:hAnsi="Times New Roman" w:cs="Times New Roman"/>
          <w:b/>
          <w:sz w:val="24"/>
          <w:szCs w:val="24"/>
        </w:rPr>
        <w:t xml:space="preserve">ЗАХТЕВА </w:t>
      </w:r>
      <w:r w:rsidR="000C132A" w:rsidRPr="0013005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ЗА ОСТВАРИВАЊЕ ПРАВА НА ОСНОВНЕ ПОДСТИЦАЈЕ У БИЉНОЈ ПРОИЗВОДЊИ </w:t>
      </w:r>
      <w:r w:rsidR="000C132A" w:rsidRPr="001300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</w:t>
      </w:r>
      <w:r w:rsidR="00C0389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r w:rsidR="00EA066A" w:rsidRPr="0013005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0946C4" w14:textId="66A288AE" w:rsidR="00456A46" w:rsidRPr="00130059" w:rsidRDefault="00456A46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4625AE6" w14:textId="4C35B1E6" w:rsidR="000C132A" w:rsidRPr="00130059" w:rsidRDefault="000C132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2F6A4FD" w14:textId="77777777" w:rsidR="00C6242B" w:rsidRPr="00130059" w:rsidRDefault="00C6242B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E40EF0D" w14:textId="77777777" w:rsidR="009D0684" w:rsidRPr="00130059" w:rsidRDefault="009D0684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059">
        <w:rPr>
          <w:rFonts w:ascii="Times New Roman" w:hAnsi="Times New Roman" w:cs="Times New Roman"/>
          <w:b/>
          <w:sz w:val="24"/>
          <w:szCs w:val="24"/>
        </w:rPr>
        <w:t>Предмет Јавног позива</w:t>
      </w:r>
    </w:p>
    <w:p w14:paraId="5C1FA003" w14:textId="77777777" w:rsidR="006C7275" w:rsidRPr="00130059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44A6835" w14:textId="2C776915" w:rsidR="00E33004" w:rsidRPr="00130059" w:rsidRDefault="00BA255A" w:rsidP="001264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00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13005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DE1C2C" w:rsidRPr="00130059">
        <w:rPr>
          <w:rFonts w:ascii="Times New Roman" w:hAnsi="Times New Roman" w:cs="Times New Roman"/>
          <w:sz w:val="24"/>
          <w:szCs w:val="24"/>
        </w:rPr>
        <w:t xml:space="preserve">У складу са чланом </w:t>
      </w:r>
      <w:r w:rsidR="00EA066A" w:rsidRPr="0013005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E1C2C" w:rsidRPr="00130059">
        <w:rPr>
          <w:rFonts w:ascii="Times New Roman" w:hAnsi="Times New Roman" w:cs="Times New Roman"/>
          <w:sz w:val="24"/>
          <w:szCs w:val="24"/>
        </w:rPr>
        <w:t xml:space="preserve">. </w:t>
      </w:r>
      <w:r w:rsidR="00126463" w:rsidRPr="00130059">
        <w:rPr>
          <w:rFonts w:ascii="Times New Roman" w:hAnsi="Times New Roman" w:cs="Times New Roman"/>
          <w:sz w:val="24"/>
          <w:szCs w:val="24"/>
          <w:lang w:val="sr-Cyrl-RS"/>
        </w:rPr>
        <w:t xml:space="preserve">став 1. </w:t>
      </w:r>
      <w:r w:rsidR="000C132A" w:rsidRPr="0013005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о </w:t>
      </w:r>
      <w:proofErr w:type="spellStart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>начину</w:t>
      </w:r>
      <w:proofErr w:type="spellEnd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>остваривања</w:t>
      </w:r>
      <w:proofErr w:type="spellEnd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>права</w:t>
      </w:r>
      <w:proofErr w:type="spellEnd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>на</w:t>
      </w:r>
      <w:proofErr w:type="spellEnd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>основне</w:t>
      </w:r>
      <w:proofErr w:type="spellEnd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>подстицаје</w:t>
      </w:r>
      <w:proofErr w:type="spellEnd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у </w:t>
      </w:r>
      <w:proofErr w:type="spellStart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>биљној</w:t>
      </w:r>
      <w:proofErr w:type="spellEnd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>производњи</w:t>
      </w:r>
      <w:proofErr w:type="spellEnd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и </w:t>
      </w:r>
      <w:proofErr w:type="spellStart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>обрасцу</w:t>
      </w:r>
      <w:proofErr w:type="spellEnd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>захтева</w:t>
      </w:r>
      <w:proofErr w:type="spellEnd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>за</w:t>
      </w:r>
      <w:proofErr w:type="spellEnd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>остваривање</w:t>
      </w:r>
      <w:proofErr w:type="spellEnd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>тих</w:t>
      </w:r>
      <w:proofErr w:type="spellEnd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iCs/>
          <w:sz w:val="24"/>
          <w:szCs w:val="24"/>
          <w:lang w:val="en-US"/>
        </w:rPr>
        <w:t>подстицаја</w:t>
      </w:r>
      <w:proofErr w:type="spellEnd"/>
      <w:r w:rsidR="000C132A" w:rsidRPr="00130059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0C132A" w:rsidRPr="00130059">
        <w:rPr>
          <w:rFonts w:ascii="Times New Roman" w:hAnsi="Times New Roman" w:cs="Times New Roman"/>
          <w:iCs/>
          <w:sz w:val="24"/>
          <w:szCs w:val="24"/>
        </w:rPr>
        <w:t>(</w:t>
      </w:r>
      <w:r w:rsidR="000C132A" w:rsidRPr="00130059">
        <w:rPr>
          <w:rFonts w:ascii="Times New Roman" w:hAnsi="Times New Roman" w:cs="Times New Roman"/>
          <w:iCs/>
          <w:sz w:val="24"/>
          <w:szCs w:val="24"/>
          <w:lang w:val="sr-Cyrl-RS"/>
        </w:rPr>
        <w:t>„Службени гласник РС“, бр.</w:t>
      </w:r>
      <w:r w:rsidR="000C132A" w:rsidRPr="001300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389C" w:rsidRPr="00C0389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C0389C" w:rsidRPr="00C0389C">
        <w:rPr>
          <w:rFonts w:ascii="Times New Roman" w:hAnsi="Times New Roman" w:cs="Times New Roman"/>
          <w:sz w:val="24"/>
          <w:szCs w:val="24"/>
        </w:rPr>
        <w:t>6/2024, 26/2024 и 87/2024</w:t>
      </w:r>
      <w:r w:rsidR="000C132A" w:rsidRPr="00130059">
        <w:rPr>
          <w:rFonts w:ascii="Times New Roman" w:hAnsi="Times New Roman" w:cs="Times New Roman"/>
          <w:iCs/>
          <w:sz w:val="24"/>
          <w:szCs w:val="24"/>
          <w:lang w:val="sr-Cyrl-RS"/>
        </w:rPr>
        <w:t>)</w:t>
      </w:r>
      <w:r w:rsidR="006F6F4D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r w:rsidR="0075059F" w:rsidRPr="00130059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75059F" w:rsidRPr="00130059">
        <w:rPr>
          <w:rFonts w:ascii="Times New Roman" w:hAnsi="Times New Roman" w:cs="Times New Roman"/>
          <w:sz w:val="24"/>
          <w:szCs w:val="24"/>
        </w:rPr>
        <w:t>у даљем те</w:t>
      </w:r>
      <w:r w:rsidR="0075059F" w:rsidRPr="00130059">
        <w:rPr>
          <w:rFonts w:ascii="Times New Roman" w:hAnsi="Times New Roman" w:cs="Times New Roman"/>
          <w:sz w:val="24"/>
          <w:szCs w:val="24"/>
          <w:lang w:val="sr-Cyrl-RS"/>
        </w:rPr>
        <w:t>кс</w:t>
      </w:r>
      <w:r w:rsidR="006A7900" w:rsidRPr="00130059">
        <w:rPr>
          <w:rFonts w:ascii="Times New Roman" w:hAnsi="Times New Roman" w:cs="Times New Roman"/>
          <w:sz w:val="24"/>
          <w:szCs w:val="24"/>
        </w:rPr>
        <w:t>ту:</w:t>
      </w:r>
      <w:r w:rsidR="006A7900" w:rsidRPr="00130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1C2C" w:rsidRPr="00130059">
        <w:rPr>
          <w:rFonts w:ascii="Times New Roman" w:hAnsi="Times New Roman" w:cs="Times New Roman"/>
          <w:sz w:val="24"/>
          <w:szCs w:val="24"/>
        </w:rPr>
        <w:t>Правилник</w:t>
      </w:r>
      <w:r w:rsidR="0075059F" w:rsidRPr="0013005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E1C2C" w:rsidRPr="00130059">
        <w:rPr>
          <w:rFonts w:ascii="Times New Roman" w:hAnsi="Times New Roman" w:cs="Times New Roman"/>
          <w:sz w:val="24"/>
          <w:szCs w:val="24"/>
        </w:rPr>
        <w:t xml:space="preserve">, </w:t>
      </w:r>
      <w:r w:rsidR="00E33004" w:rsidRPr="00130059">
        <w:rPr>
          <w:rFonts w:ascii="Times New Roman" w:hAnsi="Times New Roman" w:cs="Times New Roman"/>
          <w:sz w:val="24"/>
          <w:szCs w:val="24"/>
        </w:rPr>
        <w:t>Министарство пољопривреде</w:t>
      </w:r>
      <w:r w:rsidR="00B73845" w:rsidRPr="00130059">
        <w:rPr>
          <w:rFonts w:ascii="Times New Roman" w:hAnsi="Times New Roman" w:cs="Times New Roman"/>
          <w:sz w:val="24"/>
          <w:szCs w:val="24"/>
        </w:rPr>
        <w:t>, шумарства и водопривреде</w:t>
      </w:r>
      <w:r w:rsidR="000B318A" w:rsidRPr="00130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318A" w:rsidRPr="0013005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0B318A" w:rsidRPr="00130059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0B318A" w:rsidRPr="00130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13005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B318A" w:rsidRPr="00130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130059">
        <w:rPr>
          <w:rFonts w:ascii="Times New Roman" w:hAnsi="Times New Roman" w:cs="Times New Roman"/>
          <w:sz w:val="24"/>
          <w:szCs w:val="24"/>
          <w:lang w:val="en-US"/>
        </w:rPr>
        <w:t>аграрна</w:t>
      </w:r>
      <w:proofErr w:type="spellEnd"/>
      <w:r w:rsidR="000B318A" w:rsidRPr="00130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130059">
        <w:rPr>
          <w:rFonts w:ascii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="000B318A" w:rsidRPr="00130059">
        <w:rPr>
          <w:rFonts w:ascii="Times New Roman" w:hAnsi="Times New Roman" w:cs="Times New Roman"/>
          <w:sz w:val="24"/>
          <w:szCs w:val="24"/>
        </w:rPr>
        <w:t xml:space="preserve"> (</w:t>
      </w:r>
      <w:r w:rsidR="000B318A" w:rsidRPr="00130059">
        <w:rPr>
          <w:rFonts w:ascii="Times New Roman" w:hAnsi="Times New Roman" w:cs="Times New Roman"/>
          <w:sz w:val="24"/>
          <w:szCs w:val="24"/>
          <w:lang w:val="en-US"/>
        </w:rPr>
        <w:t>у</w:t>
      </w:r>
      <w:r w:rsidR="000B318A" w:rsidRPr="00130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18A" w:rsidRPr="00130059">
        <w:rPr>
          <w:rFonts w:ascii="Times New Roman" w:hAnsi="Times New Roman" w:cs="Times New Roman"/>
          <w:sz w:val="24"/>
          <w:szCs w:val="24"/>
          <w:lang w:val="en-US"/>
        </w:rPr>
        <w:t>да</w:t>
      </w:r>
      <w:r w:rsidR="0075059F" w:rsidRPr="00130059">
        <w:rPr>
          <w:rFonts w:ascii="Times New Roman" w:hAnsi="Times New Roman" w:cs="Times New Roman"/>
          <w:sz w:val="24"/>
          <w:szCs w:val="24"/>
          <w:lang w:val="en-US"/>
        </w:rPr>
        <w:t>љем</w:t>
      </w:r>
      <w:proofErr w:type="spellEnd"/>
      <w:r w:rsidR="0075059F" w:rsidRPr="001300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9F" w:rsidRPr="00130059">
        <w:rPr>
          <w:rFonts w:ascii="Times New Roman" w:hAnsi="Times New Roman" w:cs="Times New Roman"/>
          <w:sz w:val="24"/>
          <w:szCs w:val="24"/>
          <w:lang w:val="en-US"/>
        </w:rPr>
        <w:t>тексту</w:t>
      </w:r>
      <w:proofErr w:type="spellEnd"/>
      <w:r w:rsidR="0075059F" w:rsidRPr="001300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5059F" w:rsidRPr="00130059">
        <w:rPr>
          <w:rFonts w:ascii="Times New Roman" w:hAnsi="Times New Roman" w:cs="Times New Roman"/>
          <w:sz w:val="24"/>
          <w:szCs w:val="24"/>
          <w:lang w:val="en-US"/>
        </w:rPr>
        <w:t>Управа</w:t>
      </w:r>
      <w:proofErr w:type="spellEnd"/>
      <w:r w:rsidR="0075059F" w:rsidRPr="0013005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5059F" w:rsidRPr="00130059">
        <w:rPr>
          <w:rFonts w:ascii="Times New Roman" w:hAnsi="Times New Roman" w:cs="Times New Roman"/>
          <w:sz w:val="24"/>
          <w:szCs w:val="24"/>
          <w:lang w:val="en-US"/>
        </w:rPr>
        <w:t>расписује</w:t>
      </w:r>
      <w:proofErr w:type="spellEnd"/>
      <w:r w:rsidR="0075059F" w:rsidRPr="00130059">
        <w:rPr>
          <w:rFonts w:ascii="Times New Roman" w:hAnsi="Times New Roman" w:cs="Times New Roman"/>
          <w:sz w:val="24"/>
          <w:szCs w:val="24"/>
        </w:rPr>
        <w:t xml:space="preserve"> </w:t>
      </w:r>
      <w:r w:rsidR="00B127BB" w:rsidRPr="00130059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130059">
        <w:rPr>
          <w:rFonts w:ascii="Times New Roman" w:hAnsi="Times New Roman" w:cs="Times New Roman"/>
          <w:sz w:val="24"/>
          <w:szCs w:val="24"/>
          <w:lang w:val="en-US"/>
        </w:rPr>
        <w:t>авни</w:t>
      </w:r>
      <w:proofErr w:type="spellEnd"/>
      <w:r w:rsidR="00B127BB" w:rsidRPr="00130059">
        <w:rPr>
          <w:rFonts w:ascii="Times New Roman" w:hAnsi="Times New Roman" w:cs="Times New Roman"/>
          <w:sz w:val="24"/>
          <w:szCs w:val="24"/>
        </w:rPr>
        <w:t xml:space="preserve"> </w:t>
      </w:r>
      <w:r w:rsidR="007B06D9" w:rsidRPr="00130059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="00126463" w:rsidRPr="00130059">
        <w:rPr>
          <w:rFonts w:ascii="Times New Roman" w:hAnsi="Times New Roman" w:cs="Times New Roman"/>
          <w:sz w:val="24"/>
          <w:szCs w:val="24"/>
        </w:rPr>
        <w:t xml:space="preserve">за подношење захтева </w:t>
      </w:r>
      <w:proofErr w:type="spellStart"/>
      <w:r w:rsidR="000C132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0C132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0C132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0C132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0C132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основне</w:t>
      </w:r>
      <w:proofErr w:type="spellEnd"/>
      <w:r w:rsidR="000C132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0C132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0C132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биљној</w:t>
      </w:r>
      <w:proofErr w:type="spellEnd"/>
      <w:r w:rsidR="000C132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производњи</w:t>
      </w:r>
      <w:proofErr w:type="spellEnd"/>
      <w:r w:rsidR="000C132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C132A"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>за 202</w:t>
      </w:r>
      <w:r w:rsidR="00C0389C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0C132A"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>. годину</w:t>
      </w:r>
      <w:r w:rsidR="000C132A" w:rsidRPr="00130059">
        <w:rPr>
          <w:rFonts w:ascii="Times New Roman" w:hAnsi="Times New Roman" w:cs="Times New Roman"/>
          <w:sz w:val="24"/>
          <w:szCs w:val="24"/>
        </w:rPr>
        <w:t xml:space="preserve"> </w:t>
      </w:r>
      <w:r w:rsidR="00E33004" w:rsidRPr="00130059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130059">
        <w:rPr>
          <w:rFonts w:ascii="Times New Roman" w:hAnsi="Times New Roman" w:cs="Times New Roman"/>
          <w:sz w:val="24"/>
          <w:szCs w:val="24"/>
        </w:rPr>
        <w:t>Ј</w:t>
      </w:r>
      <w:r w:rsidR="0088245A" w:rsidRPr="00130059">
        <w:rPr>
          <w:rFonts w:ascii="Times New Roman" w:hAnsi="Times New Roman" w:cs="Times New Roman"/>
          <w:sz w:val="24"/>
          <w:szCs w:val="24"/>
        </w:rPr>
        <w:t>авни позив)</w:t>
      </w:r>
      <w:r w:rsidR="00E33004" w:rsidRPr="00130059">
        <w:rPr>
          <w:rFonts w:ascii="Times New Roman" w:hAnsi="Times New Roman" w:cs="Times New Roman"/>
          <w:sz w:val="24"/>
          <w:szCs w:val="24"/>
        </w:rPr>
        <w:t>.</w:t>
      </w:r>
    </w:p>
    <w:p w14:paraId="758CA047" w14:textId="77777777" w:rsidR="00454FA7" w:rsidRPr="00130059" w:rsidRDefault="00454FA7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FE1E45" w14:textId="77777777" w:rsidR="000C132A" w:rsidRPr="00130059" w:rsidRDefault="00454FA7" w:rsidP="000C13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17D1C" w:rsidRPr="00130059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126463" w:rsidRPr="00130059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33004" w:rsidRPr="00130059">
        <w:rPr>
          <w:rFonts w:ascii="Times New Roman" w:hAnsi="Times New Roman" w:cs="Times New Roman"/>
          <w:sz w:val="24"/>
          <w:szCs w:val="24"/>
        </w:rPr>
        <w:t xml:space="preserve">Јавни позив </w:t>
      </w:r>
      <w:r w:rsidR="00126463" w:rsidRPr="00130059">
        <w:rPr>
          <w:rFonts w:ascii="Times New Roman" w:hAnsi="Times New Roman" w:cs="Times New Roman"/>
          <w:sz w:val="24"/>
          <w:szCs w:val="24"/>
        </w:rPr>
        <w:t xml:space="preserve">садржи податке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податке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о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начину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подношења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роковима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подношење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захтева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јавном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позиву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износу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расположивих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средстава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јавном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позиву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као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друге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податке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потребне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спровођење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јавног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позива</w:t>
      </w:r>
      <w:proofErr w:type="spellEnd"/>
      <w:r w:rsidR="000C132A" w:rsidRPr="001300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EDBAA1" w14:textId="1CDC1137" w:rsidR="00E33004" w:rsidRPr="00130059" w:rsidRDefault="00E33004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7EACA45" w14:textId="0B244EFC" w:rsidR="00E87D6A" w:rsidRPr="00130059" w:rsidRDefault="00E87D6A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AF6E18E" w14:textId="3C37CD6B" w:rsidR="00C6242B" w:rsidRPr="00130059" w:rsidRDefault="00C6242B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D04AA0" w14:textId="28CBC447" w:rsidR="00C6242B" w:rsidRPr="00130059" w:rsidRDefault="00C6242B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359DB4" w14:textId="1FEFC7ED" w:rsidR="00C6242B" w:rsidRPr="00130059" w:rsidRDefault="00C6242B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D59827" w14:textId="77777777" w:rsidR="00C6242B" w:rsidRPr="00130059" w:rsidRDefault="00C6242B" w:rsidP="00B8322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1BBE80" w14:textId="4FFFA4C0" w:rsidR="009D0684" w:rsidRPr="00130059" w:rsidRDefault="00634ECD" w:rsidP="009D0684">
      <w:pPr>
        <w:tabs>
          <w:tab w:val="left" w:pos="1335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Услови за остваривање права на </w:t>
      </w:r>
      <w:r w:rsidR="007B06D9"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>подстицаје</w:t>
      </w:r>
    </w:p>
    <w:p w14:paraId="4167F22B" w14:textId="785393F0" w:rsidR="006C7275" w:rsidRPr="00130059" w:rsidRDefault="006C7275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p w14:paraId="69B5EB27" w14:textId="030B2936" w:rsidR="000C132A" w:rsidRPr="00130059" w:rsidRDefault="000C132A" w:rsidP="0012646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3704CBB" w14:textId="4ACC7D85" w:rsidR="000C132A" w:rsidRPr="00130059" w:rsidRDefault="000C132A" w:rsidP="000C132A">
      <w:pPr>
        <w:pStyle w:val="NoSpacing"/>
        <w:ind w:firstLine="170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предузетник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физичко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</w:t>
      </w:r>
      <w:r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носилац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комерцијалног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породичног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063C6260" w14:textId="314C4B82" w:rsidR="000C132A" w:rsidRDefault="000C132A" w:rsidP="000C132A">
      <w:pPr>
        <w:pStyle w:val="NoSpacing"/>
        <w:numPr>
          <w:ilvl w:val="0"/>
          <w:numId w:val="5"/>
        </w:numPr>
        <w:ind w:left="0" w:firstLine="170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уписано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Регистар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пољопривредних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газдинстава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рурални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развој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даљем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тексту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Регистар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налази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активном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статусу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773D7CCC" w14:textId="77777777" w:rsidR="00C0389C" w:rsidRDefault="00C0389C" w:rsidP="00C0389C">
      <w:pPr>
        <w:pStyle w:val="NoSpacing"/>
        <w:numPr>
          <w:ilvl w:val="0"/>
          <w:numId w:val="5"/>
        </w:numPr>
        <w:ind w:left="0" w:firstLine="170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пре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подношења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овим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правилником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Регистру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извршило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обнову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регистрације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текућу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годину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посебним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прописом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упис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Регистар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пољопривредних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газдинстава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промена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података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обнова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регистрације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поступање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услови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пасиван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статус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(у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даљем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тексту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пропис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регистрацији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пољопривредних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газдинстава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осим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ново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комерцијално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породично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газдинство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газдинство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уписано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Регистар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текућој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години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којој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C0389C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CE995D9" w14:textId="77777777" w:rsidR="00C0389C" w:rsidRPr="00E6129E" w:rsidRDefault="00C0389C" w:rsidP="00E6129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F466D95" w14:textId="77777777" w:rsidR="000C132A" w:rsidRPr="00130059" w:rsidRDefault="000C132A" w:rsidP="000C132A">
      <w:pPr>
        <w:pStyle w:val="NoSpacing"/>
        <w:ind w:left="170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22EB067" w14:textId="77777777" w:rsidR="000C132A" w:rsidRPr="00130059" w:rsidRDefault="000C132A" w:rsidP="000C132A">
      <w:pPr>
        <w:pStyle w:val="NoSpacing"/>
        <w:ind w:firstLine="170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површини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биљне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производње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243221BB" w14:textId="77777777" w:rsidR="000C132A" w:rsidRPr="00130059" w:rsidRDefault="000C132A" w:rsidP="000C132A">
      <w:pPr>
        <w:pStyle w:val="NoSpacing"/>
        <w:ind w:firstLine="170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засејане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засађене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пријављене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Регистру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површине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одговарајућом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биљном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културом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Шифарником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биљне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производње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друге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намене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земљишних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парцела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саставни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део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прописа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пољопривредних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газдинстава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даљем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тексту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Шифарник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биљне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производње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природних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ливада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пашњака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групе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култура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крмно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биље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необрађеног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земљишта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3244D342" w14:textId="77777777" w:rsidR="000C132A" w:rsidRPr="00130059" w:rsidRDefault="000C132A" w:rsidP="000C132A">
      <w:pPr>
        <w:pStyle w:val="NoSpacing"/>
        <w:ind w:firstLine="170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највише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100 ha;</w:t>
      </w:r>
    </w:p>
    <w:p w14:paraId="15695A07" w14:textId="77777777" w:rsidR="000C132A" w:rsidRPr="00130059" w:rsidRDefault="000C132A" w:rsidP="000C132A">
      <w:pPr>
        <w:pStyle w:val="NoSpacing"/>
        <w:ind w:firstLine="170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обрађује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своје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име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свој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рачун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5AF8A39" w14:textId="78B26C05" w:rsidR="000C132A" w:rsidRPr="00130059" w:rsidRDefault="000C132A" w:rsidP="000C132A">
      <w:pPr>
        <w:pStyle w:val="NoSpacing"/>
        <w:ind w:firstLine="1701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1. и 2.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површине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земљишта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државној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својини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узело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закуп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коришћење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земљиште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државној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својини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узело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закуп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јавном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надметању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земљиште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7EB9311" w14:textId="2375F195" w:rsidR="000C132A" w:rsidRPr="00130059" w:rsidRDefault="000C132A" w:rsidP="00126463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02A241F" w14:textId="4A5D47F2" w:rsidR="0004535B" w:rsidRPr="00130059" w:rsidRDefault="0004535B" w:rsidP="00C0389C">
      <w:pPr>
        <w:pStyle w:val="NoSpacing"/>
        <w:tabs>
          <w:tab w:val="left" w:pos="1901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>Рок за подношење захтева</w:t>
      </w:r>
    </w:p>
    <w:p w14:paraId="2BB88CA9" w14:textId="77777777" w:rsidR="0004535B" w:rsidRPr="00130059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1F8E93D" w14:textId="0A6557D8" w:rsidR="0004535B" w:rsidRPr="00130059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A000A5"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2518ABB1" w14:textId="77777777" w:rsidR="0004535B" w:rsidRPr="00130059" w:rsidRDefault="0004535B" w:rsidP="000453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E7F79AC" w14:textId="36FB1684" w:rsidR="0004535B" w:rsidRPr="00A7095D" w:rsidRDefault="0004535B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3005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300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 w:rsidR="00C0465A"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Захтев </w:t>
      </w:r>
      <w:proofErr w:type="spellStart"/>
      <w:r w:rsidR="00064B34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064B34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4B34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064B34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4B34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064B34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4B34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064B34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4B34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основне</w:t>
      </w:r>
      <w:proofErr w:type="spellEnd"/>
      <w:r w:rsidR="00064B34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4B34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064B34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064B34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биљној</w:t>
      </w:r>
      <w:proofErr w:type="spellEnd"/>
      <w:r w:rsidR="00064B34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064B34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производњи</w:t>
      </w:r>
      <w:proofErr w:type="spellEnd"/>
      <w:r w:rsidR="00064B34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064B34"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>за 202</w:t>
      </w:r>
      <w:r w:rsidR="00C0389C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064B34"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>. годину</w:t>
      </w:r>
      <w:r w:rsidR="00C0465A"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>, по овом Јавном позиву</w:t>
      </w:r>
      <w:r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подноси се у периоду од </w:t>
      </w:r>
      <w:r w:rsidR="00C0389C" w:rsidRPr="00A7095D"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A7095D" w:rsidRPr="00A7095D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FC035E" w:rsidRPr="00A7095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064B34" w:rsidRPr="00A7095D">
        <w:rPr>
          <w:rFonts w:ascii="Times New Roman" w:hAnsi="Times New Roman" w:cs="Times New Roman"/>
          <w:bCs/>
          <w:sz w:val="24"/>
          <w:szCs w:val="24"/>
          <w:lang w:val="sr-Cyrl-RS"/>
        </w:rPr>
        <w:t>фебруара</w:t>
      </w:r>
      <w:r w:rsidRPr="00A7095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 </w:t>
      </w:r>
      <w:r w:rsidR="00A7095D" w:rsidRPr="00A7095D">
        <w:rPr>
          <w:rFonts w:ascii="Times New Roman" w:hAnsi="Times New Roman" w:cs="Times New Roman"/>
          <w:bCs/>
          <w:sz w:val="24"/>
          <w:szCs w:val="24"/>
          <w:lang w:val="sr-Cyrl-RS"/>
        </w:rPr>
        <w:t>25</w:t>
      </w:r>
      <w:r w:rsidR="00130059" w:rsidRPr="00A7095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064B34" w:rsidRPr="00A7095D">
        <w:rPr>
          <w:rFonts w:ascii="Times New Roman" w:hAnsi="Times New Roman" w:cs="Times New Roman"/>
          <w:bCs/>
          <w:sz w:val="24"/>
          <w:szCs w:val="24"/>
          <w:lang w:val="sr-Cyrl-RS"/>
        </w:rPr>
        <w:t>марта</w:t>
      </w:r>
      <w:r w:rsidR="00C0465A" w:rsidRPr="00A7095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A7095D">
        <w:rPr>
          <w:rFonts w:ascii="Times New Roman" w:hAnsi="Times New Roman" w:cs="Times New Roman"/>
          <w:bCs/>
          <w:sz w:val="24"/>
          <w:szCs w:val="24"/>
          <w:lang w:val="sr-Cyrl-RS"/>
        </w:rPr>
        <w:t>202</w:t>
      </w:r>
      <w:r w:rsidR="00C0389C" w:rsidRPr="00A7095D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Pr="00A7095D">
        <w:rPr>
          <w:rFonts w:ascii="Times New Roman" w:hAnsi="Times New Roman" w:cs="Times New Roman"/>
          <w:bCs/>
          <w:sz w:val="24"/>
          <w:szCs w:val="24"/>
          <w:lang w:val="sr-Cyrl-RS"/>
        </w:rPr>
        <w:t>. године, закључно.</w:t>
      </w:r>
    </w:p>
    <w:p w14:paraId="3B6B8331" w14:textId="77777777" w:rsidR="0004535B" w:rsidRPr="00130059" w:rsidRDefault="0004535B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694C21F" w14:textId="068B1D9B" w:rsidR="0004535B" w:rsidRPr="00130059" w:rsidRDefault="0004535B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Захтеве поднете пре почетка или после истека рока из става 1. овог члана, Управа одбацује </w:t>
      </w:r>
      <w:r w:rsidR="00FC035E"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>решењем, у складу са законом којим се уређује општи управни поступак</w:t>
      </w:r>
      <w:r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21FB8A91" w14:textId="417FCF4C" w:rsidR="00FC035E" w:rsidRDefault="00FC035E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F408128" w14:textId="48A7C09C" w:rsidR="00C0389C" w:rsidRDefault="00C0389C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6694FBC8" w14:textId="77777777" w:rsidR="00C0389C" w:rsidRPr="00E160CC" w:rsidRDefault="00C0389C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08B68D3" w14:textId="0BB7CEAE" w:rsidR="00FC035E" w:rsidRPr="00130059" w:rsidRDefault="00FC035E" w:rsidP="00FC03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Начин подношења захтева </w:t>
      </w:r>
    </w:p>
    <w:p w14:paraId="32E503AF" w14:textId="16CB28FE" w:rsidR="00FC035E" w:rsidRPr="00130059" w:rsidRDefault="00FC035E" w:rsidP="0004535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0AF058A4" w14:textId="448409BD" w:rsidR="00FC035E" w:rsidRPr="00130059" w:rsidRDefault="00FC035E" w:rsidP="00FC035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A000A5" w:rsidRPr="00130059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13005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14:paraId="01E6F0B0" w14:textId="13AC4DC2" w:rsidR="00227BB0" w:rsidRPr="00130059" w:rsidRDefault="00227BB0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84E1E19" w14:textId="30E9239E" w:rsidR="00227BB0" w:rsidRPr="00130059" w:rsidRDefault="00227BB0" w:rsidP="00227BB0">
      <w:pPr>
        <w:pStyle w:val="NoSpacing"/>
        <w:ind w:firstLine="15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испуњава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услове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1300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покреће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поступак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избором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попуњавањем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одговарајућег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обрасца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r w:rsidRPr="00130059">
        <w:rPr>
          <w:rFonts w:ascii="Times New Roman" w:hAnsi="Times New Roman" w:cs="Times New Roman"/>
          <w:bCs/>
          <w:i/>
          <w:sz w:val="24"/>
          <w:szCs w:val="24"/>
          <w:lang w:val="en-US"/>
        </w:rPr>
        <w:t>online</w:t>
      </w: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форми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потписује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регистрованом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шемом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високог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нивоа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поузданости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42FB956" w14:textId="45E5E904" w:rsidR="00227BB0" w:rsidRPr="00130059" w:rsidRDefault="00227BB0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6ED26CA" w14:textId="52574259" w:rsidR="00227BB0" w:rsidRPr="00130059" w:rsidRDefault="00DD1F14" w:rsidP="00227BB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</w:t>
      </w:r>
      <w:proofErr w:type="spellStart"/>
      <w:r w:rsidR="00227BB0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="00227BB0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7BB0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="00227BB0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7BB0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227BB0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7BB0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227BB0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7BB0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="00227BB0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="00227BB0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="00227BB0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227BB0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227BB0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27BB0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="00227BB0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2F5EE7E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обавештава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корисника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свим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обавези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надлежног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службеној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дужности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прибави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службених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0FCB532F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омогућава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изјави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личности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службених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0642EBC6" w14:textId="0F0494D2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обавештава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потребним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односе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треће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члан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породичног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члан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породице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сл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.),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томе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приступ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подацима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могућ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само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основу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пристанка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DCDE43A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05BB929" w14:textId="77777777" w:rsidR="00227BB0" w:rsidRPr="00130059" w:rsidRDefault="00227BB0" w:rsidP="00227BB0">
      <w:pPr>
        <w:pStyle w:val="NoSpacing"/>
        <w:ind w:firstLine="15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9DB3681" w14:textId="77777777" w:rsidR="00227BB0" w:rsidRPr="00130059" w:rsidRDefault="00227BB0" w:rsidP="00227BB0">
      <w:pPr>
        <w:pStyle w:val="NoSpacing"/>
        <w:ind w:firstLine="15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основне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подносиоцу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19C6E030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(1)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име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презиме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7D93456F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матични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грађана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(ЈМБГ),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матични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(МБ),</w:t>
      </w:r>
    </w:p>
    <w:p w14:paraId="15DBB5C7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(3)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општина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место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улица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пребивалишта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седишта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28D94FE9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(4)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телефона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33DB7576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(5)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пошту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05360537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(6)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(БПГ),</w:t>
      </w:r>
    </w:p>
    <w:p w14:paraId="0472BE30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(7)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додатне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–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40F6FB8C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порески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идентификациони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(ПИБ)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корисника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јавних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средстава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(ЈБКЈС),</w:t>
      </w:r>
    </w:p>
    <w:p w14:paraId="5E1D07F8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име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презиме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одговорног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1AC79455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–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матични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грађана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(ЈМБГ)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одговорног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75922F2F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(8)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додељује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Централни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регистар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обавезног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социјалног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осигурања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лични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осигураника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централни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регистар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обавезног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социјалног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осигурања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даљем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тексту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Централни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регистар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обавезног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социјалног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осигурања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);</w:t>
      </w:r>
    </w:p>
    <w:p w14:paraId="042901A8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пријављеним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засејаним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засађеним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површинама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одговарајућом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биљном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културом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правилником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34314CF1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(1)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катастарску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општину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катастарске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парцеле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62619B41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шифру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културе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Шифарником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биљне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производње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558E076B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(3)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културе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Шифарником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биљне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производње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44BF88E9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(4)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површини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културом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hа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/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аr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/m</w:t>
      </w:r>
      <w:r w:rsidRPr="00130059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);</w:t>
      </w:r>
    </w:p>
    <w:p w14:paraId="02F421D9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кривичном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материјалном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одговорношћу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6AC33515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(1)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пријављене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засејане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засађене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површине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одговарајућом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биљном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културом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предмет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обрађује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своје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име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свој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рачун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5DD849C3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(2)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сви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подаци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наведени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тачни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истинити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4D92943B" w14:textId="77777777" w:rsidR="00227BB0" w:rsidRPr="00130059" w:rsidRDefault="00227BB0" w:rsidP="00227BB0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потпис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одговорног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B4D85D6" w14:textId="2E918972" w:rsidR="00227BB0" w:rsidRPr="00130059" w:rsidRDefault="00227BB0" w:rsidP="00227BB0">
      <w:pPr>
        <w:pStyle w:val="NoSpacing"/>
        <w:ind w:firstLine="15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и:</w:t>
      </w:r>
    </w:p>
    <w:p w14:paraId="7F012BB0" w14:textId="77777777" w:rsidR="00227BB0" w:rsidRPr="00130059" w:rsidRDefault="00227BB0" w:rsidP="00227BB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8141385" w14:textId="2116B3EC" w:rsidR="00227BB0" w:rsidRPr="00130059" w:rsidRDefault="00227BB0" w:rsidP="00227BB0">
      <w:pPr>
        <w:pStyle w:val="NoSpacing"/>
        <w:ind w:firstLine="15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одговорног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упознат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одредбом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103.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став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Закона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општем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(„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Службени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гласник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РСˮ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18/16, 95/18 –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аутентично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тумачење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2/23 – УС),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прописано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покреће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странке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врши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увид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прибавља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обрађује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чињеницама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службена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када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неопходно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странка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изричито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изјави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странка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року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поднесе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неопходне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покретање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сматрати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неуредним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сагласан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правилником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изврши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увид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прибави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обради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чињеницама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службена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неопходни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одлучивања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наменском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рачуну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породичног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газдинства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,</w:t>
      </w:r>
    </w:p>
    <w:p w14:paraId="753DB8AB" w14:textId="77777777" w:rsidR="00227BB0" w:rsidRPr="00130059" w:rsidRDefault="00227BB0" w:rsidP="00227BB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</w:p>
    <w:p w14:paraId="7A5DF8FE" w14:textId="77777777" w:rsidR="00227BB0" w:rsidRPr="00130059" w:rsidRDefault="00227BB0" w:rsidP="00227BB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BE272C7" w14:textId="02261932" w:rsidR="00227BB0" w:rsidRPr="00130059" w:rsidRDefault="00227BB0" w:rsidP="00227BB0">
      <w:pPr>
        <w:pStyle w:val="NoSpacing"/>
        <w:ind w:firstLine="15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одговорног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упознат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одредбом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103.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став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Закона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општем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прописано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покреће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странке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врши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увид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прибавља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обрађује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чињеницама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службена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када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неопходно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странка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изричито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изјави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странка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року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поднесе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неопходне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покретање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сматрати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неуредним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изјаву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ће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самостално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потребе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прибавити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личне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податке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чињеницама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води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службена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евиденција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а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неопходни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одлучивање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правилником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AA13C74" w14:textId="77777777" w:rsidR="00227BB0" w:rsidRPr="00130059" w:rsidRDefault="00227BB0" w:rsidP="00227BB0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95A2379" w14:textId="7E095834" w:rsidR="00227BB0" w:rsidRPr="00130059" w:rsidRDefault="00227BB0" w:rsidP="00227BB0">
      <w:pPr>
        <w:pStyle w:val="NoSpacing"/>
        <w:ind w:firstLine="15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образац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3.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поље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чијим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избором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подносилац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потврђује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извршио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попуњавање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DD6053F" w14:textId="77777777" w:rsidR="00227BB0" w:rsidRPr="00130059" w:rsidRDefault="00227BB0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9AB0F3F" w14:textId="77777777" w:rsidR="00227BB0" w:rsidRPr="00130059" w:rsidRDefault="00227BB0" w:rsidP="00DD1F1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B778384" w14:textId="77777777" w:rsidR="00E70BBB" w:rsidRPr="00130059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Регистрација за коришћење услуге софтверског решења еАграр </w:t>
      </w:r>
    </w:p>
    <w:p w14:paraId="2BBA840B" w14:textId="3CBA8B1C" w:rsidR="00E70BBB" w:rsidRPr="00130059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>и техничка подршка подносиоцима захтева</w:t>
      </w:r>
    </w:p>
    <w:p w14:paraId="011A6D95" w14:textId="77777777" w:rsidR="00E70BBB" w:rsidRPr="00130059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D18061D" w14:textId="53AAAE44" w:rsidR="00B127BB" w:rsidRPr="00130059" w:rsidRDefault="00AB5422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DD1F14"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60EE0049" w14:textId="258DCC9C" w:rsidR="00AB5422" w:rsidRPr="00130059" w:rsidRDefault="00AB5422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D61AABE" w14:textId="103BFEC5" w:rsidR="0039470A" w:rsidRPr="00130059" w:rsidRDefault="00AB5422" w:rsidP="0039470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proofErr w:type="spellStart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Физичко</w:t>
      </w:r>
      <w:proofErr w:type="spellEnd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правно</w:t>
      </w:r>
      <w:proofErr w:type="spellEnd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користи</w:t>
      </w:r>
      <w:proofErr w:type="spellEnd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регистровано</w:t>
      </w:r>
      <w:proofErr w:type="spellEnd"/>
      <w:r w:rsidR="0039470A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8A97899" w14:textId="77777777" w:rsidR="0039470A" w:rsidRPr="00130059" w:rsidRDefault="0039470A" w:rsidP="0039470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6E02DBD" w14:textId="04B4F114" w:rsidR="0039470A" w:rsidRPr="00130059" w:rsidRDefault="0039470A" w:rsidP="0039470A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Орган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надлежан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пројектовање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усклађивање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развој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функционисање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система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региструје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налог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C913CBF" w14:textId="77777777" w:rsidR="0039470A" w:rsidRPr="00130059" w:rsidRDefault="0039470A" w:rsidP="0039470A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1478918" w14:textId="312B51F2" w:rsidR="0039470A" w:rsidRPr="00130059" w:rsidRDefault="0039470A" w:rsidP="0039470A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Ако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корисник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повуче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сагласност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прихватању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услова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коришћења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услуга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надлежни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брише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га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евиденције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затвара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његов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налог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5F39013" w14:textId="77777777" w:rsidR="0039470A" w:rsidRPr="00130059" w:rsidRDefault="0039470A" w:rsidP="0039470A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0634AF6" w14:textId="652F51BC" w:rsidR="0039470A" w:rsidRPr="00130059" w:rsidRDefault="0039470A" w:rsidP="0039470A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Након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надлежни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орган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2.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кориснику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обезбеђује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коришћење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сандучића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35F96E0" w14:textId="77777777" w:rsidR="0039470A" w:rsidRPr="00130059" w:rsidRDefault="0039470A" w:rsidP="0039470A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C3FB946" w14:textId="4972F1FF" w:rsidR="0039470A" w:rsidRPr="00130059" w:rsidRDefault="0039470A" w:rsidP="0039470A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Учесник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поступању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пријављује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портал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налога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Портала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даљем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тексту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Портал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еИД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представља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јединствено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место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идентификацију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аутентикацију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пријаву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корисника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9BAA5F1" w14:textId="77777777" w:rsidR="0039470A" w:rsidRPr="00130059" w:rsidRDefault="0039470A" w:rsidP="0039470A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3B3A094" w14:textId="5452BEEB" w:rsidR="0039470A" w:rsidRPr="00130059" w:rsidRDefault="0039470A" w:rsidP="0039470A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1.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учесник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остварити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Порталу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еИД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адреси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eid.gov.rs,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квалификованог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сертификата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шалтеру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неког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Регистрационог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тела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уз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обавезно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издавање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параметара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активацију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мобилне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апликације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ConsentID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5732D05" w14:textId="77777777" w:rsidR="0039470A" w:rsidRPr="00130059" w:rsidRDefault="0039470A" w:rsidP="0039470A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D2401B0" w14:textId="1C2CC6AB" w:rsidR="0039470A" w:rsidRPr="00130059" w:rsidRDefault="0039470A" w:rsidP="0039470A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Техничку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подршку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подносиоцу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вези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поступањем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равилником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пружа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:</w:t>
      </w:r>
    </w:p>
    <w:p w14:paraId="1961B86C" w14:textId="77777777" w:rsidR="0039470A" w:rsidRPr="00130059" w:rsidRDefault="0039470A" w:rsidP="0039470A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овлашћено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54ECC7E6" w14:textId="77777777" w:rsidR="0039470A" w:rsidRPr="00130059" w:rsidRDefault="0039470A" w:rsidP="0039470A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обавља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саветодавне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послове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лиценцу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обављање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тих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послова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уписано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Регистар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пољопривредних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саветодаваца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обављање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саветодавних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стручних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послова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области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пољопривреде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1ABD9308" w14:textId="345F8985" w:rsidR="0039470A" w:rsidRPr="00130059" w:rsidRDefault="0039470A" w:rsidP="0039470A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3)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овлашћено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лице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јединице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локалне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самоуправе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према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месту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пребивалишта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седишта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подносиоца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02B8955" w14:textId="77777777" w:rsidR="0039470A" w:rsidRPr="00130059" w:rsidRDefault="0039470A" w:rsidP="0039470A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5BE5087" w14:textId="77777777" w:rsidR="0039470A" w:rsidRPr="00130059" w:rsidRDefault="0039470A" w:rsidP="0039470A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Ближа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техничка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упутства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регистрације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корисничког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налога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пријави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систем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попуњавања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подношења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обрасца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поступку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начину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пружања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техничке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подршке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подносиоцима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објављују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огласној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табли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аграрна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плаћања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Булевар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краља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Александра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84, 11000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Београд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званичној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веб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презентацији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адреси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https://eagrar.gov.rs.</w:t>
      </w:r>
    </w:p>
    <w:p w14:paraId="0D6658BF" w14:textId="212434D8" w:rsidR="00F527AC" w:rsidRPr="00130059" w:rsidRDefault="00F527AC" w:rsidP="0039470A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56FD83CC" w14:textId="017E37B7" w:rsidR="00190661" w:rsidRPr="00130059" w:rsidRDefault="00190661" w:rsidP="001906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RS"/>
        </w:rPr>
        <w:t>Пријем електронског обрасца захтева</w:t>
      </w:r>
    </w:p>
    <w:p w14:paraId="4BEF3937" w14:textId="3DC7F8DF" w:rsidR="00AB5422" w:rsidRPr="00130059" w:rsidRDefault="00AB5422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BA3501D" w14:textId="68D431E2" w:rsidR="00E70BBB" w:rsidRPr="00130059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B40B89"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>7</w:t>
      </w:r>
      <w:r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561B625C" w14:textId="73994307" w:rsidR="00E70BBB" w:rsidRPr="00130059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C9C9227" w14:textId="45813D84" w:rsidR="00C6242B" w:rsidRPr="00130059" w:rsidRDefault="00190661" w:rsidP="00C6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</w:t>
      </w:r>
      <w:r w:rsidR="00F527AC"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омогућава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пријем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обрасца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из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члана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4. </w:t>
      </w:r>
      <w:r w:rsidR="00C6242B"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равилника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као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других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поднесака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преко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портала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софтверског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решења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прописа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прописује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канцеларијско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пословање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органа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државне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овим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правилником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4AD2BD6C" w14:textId="77777777" w:rsidR="00C6242B" w:rsidRPr="00130059" w:rsidRDefault="00C6242B" w:rsidP="00C6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D9FC059" w14:textId="5C3864A8" w:rsidR="00C6242B" w:rsidRPr="00130059" w:rsidRDefault="00C6242B" w:rsidP="00C6242B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Пријем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евидентира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писарници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A7A7B03" w14:textId="77777777" w:rsidR="00C6242B" w:rsidRPr="00130059" w:rsidRDefault="00C6242B" w:rsidP="00C6242B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4A322E5" w14:textId="639E716A" w:rsidR="00C6242B" w:rsidRPr="00130059" w:rsidRDefault="00C6242B" w:rsidP="00C6242B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Потврда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пријему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шаље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подносиоцу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одмах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исти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поднесак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послат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садржи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обавештење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пријему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датум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напредни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печат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5071D6C2" w14:textId="77777777" w:rsidR="00C6242B" w:rsidRPr="00130059" w:rsidRDefault="00C6242B" w:rsidP="00C6242B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317EA21B" w14:textId="72DFBF9E" w:rsidR="00C6242B" w:rsidRPr="00130059" w:rsidRDefault="00C6242B" w:rsidP="00C6242B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пријема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поднеска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време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одређено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квалификованим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временским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жигом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законом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уређује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документ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услуге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поверења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електронском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пословању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CC6F34F" w14:textId="77777777" w:rsidR="00C6242B" w:rsidRPr="00130059" w:rsidRDefault="00C6242B" w:rsidP="00C6242B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621DA379" w14:textId="77777777" w:rsidR="00C6242B" w:rsidRPr="00130059" w:rsidRDefault="00C6242B" w:rsidP="00C6242B">
      <w:pPr>
        <w:pStyle w:val="NoSpacing"/>
        <w:ind w:firstLine="1418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аутоматски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додељује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број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сваки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поднети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захтев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тим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бројем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предузимају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радње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доносе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акта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2615459B" w14:textId="77777777" w:rsidR="00C6242B" w:rsidRPr="00130059" w:rsidRDefault="00C6242B" w:rsidP="00C6242B">
      <w:pPr>
        <w:pStyle w:val="NoSpacing"/>
        <w:ind w:firstLine="156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Поред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броја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аутоматски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додељеног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Управа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оквиру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поступка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кроз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софтверско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решење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еАграр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додељивати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бројеве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односно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ознаке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које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су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интерног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карактера</w:t>
      </w:r>
      <w:proofErr w:type="spellEnd"/>
      <w:r w:rsidRPr="0013005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67390978" w14:textId="77777777" w:rsidR="00C6242B" w:rsidRPr="00130059" w:rsidRDefault="00C6242B" w:rsidP="00C6242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37E831" w14:textId="0705090E" w:rsidR="00086F66" w:rsidRPr="00130059" w:rsidRDefault="00086F66" w:rsidP="00C6242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Износ </w:t>
      </w:r>
      <w:r w:rsidR="00F527AC" w:rsidRPr="00130059">
        <w:rPr>
          <w:rFonts w:ascii="Times New Roman" w:hAnsi="Times New Roman" w:cs="Times New Roman"/>
          <w:b/>
          <w:sz w:val="24"/>
          <w:szCs w:val="24"/>
          <w:lang w:val="sr-Cyrl-RS"/>
        </w:rPr>
        <w:t>подстицаја</w:t>
      </w:r>
      <w:r w:rsidRPr="001300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42807" w:rsidRPr="00130059">
        <w:rPr>
          <w:rFonts w:ascii="Times New Roman" w:hAnsi="Times New Roman" w:cs="Times New Roman"/>
          <w:b/>
          <w:sz w:val="24"/>
          <w:szCs w:val="24"/>
          <w:lang w:val="sr-Cyrl-RS"/>
        </w:rPr>
        <w:t>и</w:t>
      </w:r>
    </w:p>
    <w:p w14:paraId="5A6B3935" w14:textId="7E103115" w:rsidR="00086F66" w:rsidRPr="00130059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RS"/>
        </w:rPr>
        <w:t>износ расположивих средстава по Јавном позиву</w:t>
      </w:r>
    </w:p>
    <w:p w14:paraId="59AD5B0D" w14:textId="77777777" w:rsidR="00E70BBB" w:rsidRPr="00130059" w:rsidRDefault="00E70BBB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B2F2B3" w14:textId="5D500713" w:rsidR="00634ECD" w:rsidRPr="00130059" w:rsidRDefault="00190661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B40B89"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>8</w:t>
      </w:r>
      <w:r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02F76828" w14:textId="77777777" w:rsidR="00086F66" w:rsidRPr="00130059" w:rsidRDefault="00086F6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BF5A7E3" w14:textId="02396FBE" w:rsidR="00C6242B" w:rsidRPr="00130059" w:rsidRDefault="00086F66" w:rsidP="00C624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</w:t>
      </w:r>
      <w:r w:rsidR="00D31381" w:rsidRPr="0013005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Подстицаји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остварују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површини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пољопривредне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производње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биљним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културама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242B" w:rsidRPr="00130059">
        <w:rPr>
          <w:rFonts w:ascii="Times New Roman" w:hAnsi="Times New Roman" w:cs="Times New Roman"/>
          <w:sz w:val="24"/>
          <w:szCs w:val="24"/>
          <w:lang w:val="sr-Cyrl-RS"/>
        </w:rPr>
        <w:t>П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равилником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утврђују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износу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одређеном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посебним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прописом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којим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уређује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расподела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подстицаја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пољопривреди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руралном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развоју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50ACD0" w14:textId="77777777" w:rsidR="00C6242B" w:rsidRPr="00130059" w:rsidRDefault="00C6242B" w:rsidP="00C6242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369AFD" w14:textId="47C33839" w:rsidR="00C6242B" w:rsidRPr="00130059" w:rsidRDefault="00C6242B" w:rsidP="00C6242B">
      <w:pPr>
        <w:pStyle w:val="NoSpacing"/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Увећање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максималног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износа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подстицаја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подручја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одређених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управних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округа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складу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посебним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прописом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којим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уређује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расподела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подстицаја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пољопривреди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руралном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развоју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утврђује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према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месту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коме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налази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земљиште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под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биљним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културама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које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је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предмет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0059">
        <w:rPr>
          <w:rFonts w:ascii="Times New Roman" w:hAnsi="Times New Roman" w:cs="Times New Roman"/>
          <w:sz w:val="24"/>
          <w:szCs w:val="24"/>
          <w:lang w:val="en-US"/>
        </w:rPr>
        <w:t>подстицаја</w:t>
      </w:r>
      <w:proofErr w:type="spellEnd"/>
      <w:r w:rsidRPr="0013005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412A00" w14:textId="3BE4A890" w:rsidR="00B40B89" w:rsidRPr="00130059" w:rsidRDefault="00B40B89" w:rsidP="00C6242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029A5E85" w14:textId="6C83C85C" w:rsidR="00FA62B1" w:rsidRPr="00951E02" w:rsidRDefault="00086F66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</w:t>
      </w:r>
      <w:r w:rsidR="00A61859"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Укупна расположива средства по овом Јавном позиву опредељују се у износу </w:t>
      </w:r>
      <w:r w:rsidR="00FA62B1"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A7095D" w:rsidRPr="00A7095D">
        <w:rPr>
          <w:rFonts w:ascii="Times New Roman" w:hAnsi="Times New Roman" w:cs="Times New Roman"/>
          <w:bCs/>
          <w:sz w:val="24"/>
          <w:szCs w:val="24"/>
          <w:lang w:val="sr-Cyrl-RS"/>
        </w:rPr>
        <w:t>34.500.000.000,00</w:t>
      </w:r>
      <w:r w:rsidR="00951E02" w:rsidRPr="00951E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0B89"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A62B1"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динара, у оквиру укупног износа који је за ову намену одређен </w:t>
      </w:r>
      <w:r w:rsidR="00FA62B1" w:rsidRPr="00130059">
        <w:rPr>
          <w:rFonts w:ascii="Times New Roman" w:hAnsi="Times New Roman" w:cs="Times New Roman"/>
          <w:bCs/>
          <w:sz w:val="24"/>
          <w:szCs w:val="24"/>
          <w:lang w:val="sr-Cyrl-CS"/>
        </w:rPr>
        <w:t>посебним прописом којим се уређује расподела подстицаја у пољопривреди и руралном развоју</w:t>
      </w:r>
      <w:r w:rsidR="00951E0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20DDDA" w14:textId="45EBC618" w:rsidR="00086F66" w:rsidRPr="00130059" w:rsidRDefault="00086F66" w:rsidP="00086F66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AA011E5" w14:textId="77777777" w:rsidR="00086F66" w:rsidRPr="00130059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Објављивање Јавног позива и </w:t>
      </w:r>
    </w:p>
    <w:p w14:paraId="011B4EA7" w14:textId="54D280B2" w:rsidR="00086F66" w:rsidRPr="00130059" w:rsidRDefault="00086F66" w:rsidP="00086F6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RS"/>
        </w:rPr>
        <w:t>информације у вези расписаног јавног позива</w:t>
      </w:r>
    </w:p>
    <w:p w14:paraId="5A287C0B" w14:textId="670912DB" w:rsidR="00086F66" w:rsidRPr="00130059" w:rsidRDefault="00086F6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2536BF" w14:textId="47D240A7" w:rsidR="00086F66" w:rsidRPr="00130059" w:rsidRDefault="00086F66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Члан </w:t>
      </w:r>
      <w:r w:rsidR="00D31381"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>9</w:t>
      </w:r>
      <w:r w:rsidRPr="0013005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14:paraId="3F98E7CD" w14:textId="680168B4" w:rsidR="00634ECD" w:rsidRPr="00130059" w:rsidRDefault="00634ECD" w:rsidP="00DE1C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86567" w14:textId="0332B716" w:rsidR="00E270BB" w:rsidRPr="00130059" w:rsidRDefault="00086F66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30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13005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13005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C6242B" w:rsidRPr="00130059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C6242B" w:rsidRPr="00130059">
        <w:rPr>
          <w:rFonts w:ascii="Times New Roman" w:hAnsi="Times New Roman" w:cs="Times New Roman"/>
          <w:sz w:val="24"/>
          <w:szCs w:val="24"/>
          <w:lang w:val="en-US"/>
        </w:rPr>
        <w:t>авни</w:t>
      </w:r>
      <w:proofErr w:type="spellEnd"/>
      <w:r w:rsidR="00C6242B" w:rsidRPr="00130059">
        <w:rPr>
          <w:rFonts w:ascii="Times New Roman" w:hAnsi="Times New Roman" w:cs="Times New Roman"/>
          <w:sz w:val="24"/>
          <w:szCs w:val="24"/>
        </w:rPr>
        <w:t xml:space="preserve"> </w:t>
      </w:r>
      <w:r w:rsidR="00C6242B" w:rsidRPr="00130059">
        <w:rPr>
          <w:rFonts w:ascii="Times New Roman" w:hAnsi="Times New Roman" w:cs="Times New Roman"/>
          <w:sz w:val="24"/>
          <w:szCs w:val="24"/>
          <w:lang w:val="sr-Cyrl-RS"/>
        </w:rPr>
        <w:t xml:space="preserve">позив </w:t>
      </w:r>
      <w:r w:rsidR="00C6242B" w:rsidRPr="00130059">
        <w:rPr>
          <w:rFonts w:ascii="Times New Roman" w:hAnsi="Times New Roman" w:cs="Times New Roman"/>
          <w:sz w:val="24"/>
          <w:szCs w:val="24"/>
        </w:rPr>
        <w:t xml:space="preserve">за подношење захтева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за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остваривање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права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на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основне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подстицаје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биљној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>производњи</w:t>
      </w:r>
      <w:proofErr w:type="spellEnd"/>
      <w:r w:rsidR="00C6242B" w:rsidRPr="0013005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6242B"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>за 202</w:t>
      </w:r>
      <w:r w:rsidR="00E160CC">
        <w:rPr>
          <w:rFonts w:ascii="Times New Roman" w:hAnsi="Times New Roman" w:cs="Times New Roman"/>
          <w:bCs/>
          <w:sz w:val="24"/>
          <w:szCs w:val="24"/>
          <w:lang w:val="en-US"/>
        </w:rPr>
        <w:t>5</w:t>
      </w:r>
      <w:r w:rsidR="00C6242B" w:rsidRPr="00130059">
        <w:rPr>
          <w:rFonts w:ascii="Times New Roman" w:hAnsi="Times New Roman" w:cs="Times New Roman"/>
          <w:bCs/>
          <w:sz w:val="24"/>
          <w:szCs w:val="24"/>
          <w:lang w:val="sr-Cyrl-RS"/>
        </w:rPr>
        <w:t>. годину</w:t>
      </w:r>
      <w:r w:rsidR="00E04731" w:rsidRPr="00130059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13005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130059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130059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130059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130059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130059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130059">
        <w:rPr>
          <w:rFonts w:ascii="Times New Roman" w:hAnsi="Times New Roman" w:cs="Times New Roman"/>
          <w:sz w:val="24"/>
          <w:szCs w:val="24"/>
        </w:rPr>
        <w:t>110</w:t>
      </w:r>
      <w:r w:rsidR="00461272" w:rsidRPr="0013005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130059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130059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130059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13005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130059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130059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13005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1300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130059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130059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130059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130059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33D7B8F4" w:rsidR="00086F66" w:rsidRPr="00130059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1300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</w:t>
      </w:r>
      <w:r w:rsidR="00E71E54" w:rsidRPr="001300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0" w:name="_Hlk131409673"/>
      <w:r w:rsidRPr="00130059">
        <w:rPr>
          <w:rFonts w:ascii="Times New Roman" w:hAnsi="Times New Roman" w:cs="Times New Roman"/>
          <w:color w:val="000000"/>
          <w:sz w:val="24"/>
          <w:szCs w:val="24"/>
        </w:rPr>
        <w:t>Информације у вези расписаног Јавног позива доступне су на телефон</w:t>
      </w:r>
      <w:r w:rsidR="00C3230F" w:rsidRPr="0013005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1300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059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130059">
        <w:rPr>
          <w:rFonts w:ascii="Times New Roman" w:hAnsi="Times New Roman" w:cs="Times New Roman"/>
          <w:color w:val="000000"/>
          <w:sz w:val="24"/>
          <w:szCs w:val="24"/>
        </w:rPr>
        <w:t>пољопривреде, шумарства и водопривреде</w:t>
      </w:r>
      <w:r w:rsidRPr="00130059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1300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059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 w:rsidRPr="0013005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1300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1300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1300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1300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1300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1300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1300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1300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1300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1300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1300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1300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1300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1300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1300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130059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13005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0"/>
    <w:p w14:paraId="03090934" w14:textId="3F9E2091" w:rsidR="00522253" w:rsidRPr="00130059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130059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0CB2CE02" w14:textId="35DCD79B" w:rsidR="00E270BB" w:rsidRPr="00130059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0059">
        <w:rPr>
          <w:rFonts w:ascii="Times New Roman" w:hAnsi="Times New Roman" w:cs="Times New Roman"/>
          <w:sz w:val="24"/>
          <w:szCs w:val="24"/>
          <w:lang w:val="sr-Cyrl-CS"/>
        </w:rPr>
        <w:t xml:space="preserve">У Београду, </w:t>
      </w:r>
      <w:r w:rsidR="00E160C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7095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130059" w:rsidRPr="0013005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30059" w:rsidRPr="00130059">
        <w:rPr>
          <w:rFonts w:ascii="Times New Roman" w:hAnsi="Times New Roman" w:cs="Times New Roman"/>
          <w:sz w:val="24"/>
          <w:szCs w:val="24"/>
          <w:lang w:val="sr-Cyrl-RS"/>
        </w:rPr>
        <w:t>фебруара</w:t>
      </w:r>
      <w:r w:rsidR="00C6242B" w:rsidRPr="001300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272" w:rsidRPr="00130059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E160C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30059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tbl>
      <w:tblPr>
        <w:tblW w:w="9672" w:type="dxa"/>
        <w:tblInd w:w="108" w:type="dxa"/>
        <w:tblLook w:val="01E0" w:firstRow="1" w:lastRow="1" w:firstColumn="1" w:lastColumn="1" w:noHBand="0" w:noVBand="0"/>
      </w:tblPr>
      <w:tblGrid>
        <w:gridCol w:w="5044"/>
        <w:gridCol w:w="4628"/>
      </w:tblGrid>
      <w:tr w:rsidR="0036215F" w:rsidRPr="00130059" w14:paraId="762E9FA4" w14:textId="77777777" w:rsidTr="00130059">
        <w:trPr>
          <w:trHeight w:val="978"/>
        </w:trPr>
        <w:tc>
          <w:tcPr>
            <w:tcW w:w="5044" w:type="dxa"/>
          </w:tcPr>
          <w:p w14:paraId="6B3E17F8" w14:textId="77777777" w:rsidR="00C6242B" w:rsidRPr="00130059" w:rsidRDefault="00C6242B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751795B7" w14:textId="43F59187" w:rsidR="00CB12EC" w:rsidRPr="00130059" w:rsidRDefault="0036215F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3005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F21817" w:rsidRPr="00F2181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000603732 2025 14846 008 001 012 001</w:t>
            </w:r>
          </w:p>
          <w:p w14:paraId="048D1585" w14:textId="0C7FC1EF" w:rsidR="00B26EF4" w:rsidRPr="00130059" w:rsidRDefault="0036215F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3005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1300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E160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A7095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130059" w:rsidRPr="001300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</w:t>
            </w:r>
            <w:r w:rsidR="00086F66" w:rsidRPr="001300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</w:t>
            </w:r>
            <w:r w:rsidR="00E160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1300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4628" w:type="dxa"/>
          </w:tcPr>
          <w:p w14:paraId="31DD1703" w14:textId="44EAEDD6" w:rsidR="00C6242B" w:rsidRPr="00130059" w:rsidRDefault="00C6242B" w:rsidP="00C62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05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14:paraId="24C2B9CE" w14:textId="77777777" w:rsidR="00C6242B" w:rsidRPr="00130059" w:rsidRDefault="00C6242B" w:rsidP="00C62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C8A4A3" w14:textId="76DC21A2" w:rsidR="00C6242B" w:rsidRPr="00E160CC" w:rsidRDefault="00E160CC" w:rsidP="00C624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Слободан Николовски</w:t>
            </w:r>
          </w:p>
          <w:p w14:paraId="31B13442" w14:textId="6C41C2DA" w:rsidR="00891DAA" w:rsidRPr="00130059" w:rsidRDefault="00891DAA" w:rsidP="00B26E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620AE9C0" w14:textId="55DE0CEF" w:rsidR="009F68FE" w:rsidRPr="00130059" w:rsidRDefault="009F68FE" w:rsidP="00C82B00">
      <w:pPr>
        <w:spacing w:after="15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130059" w:rsidSect="00634198">
      <w:footerReference w:type="default" r:id="rId11"/>
      <w:footerReference w:type="first" r:id="rId12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2CD92" w14:textId="77777777" w:rsidR="00012751" w:rsidRDefault="00012751" w:rsidP="00456B10">
      <w:pPr>
        <w:spacing w:after="0" w:line="240" w:lineRule="auto"/>
      </w:pPr>
      <w:r>
        <w:separator/>
      </w:r>
    </w:p>
  </w:endnote>
  <w:endnote w:type="continuationSeparator" w:id="0">
    <w:p w14:paraId="1EACC094" w14:textId="77777777" w:rsidR="00012751" w:rsidRDefault="00012751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1A51" w14:textId="77777777" w:rsidR="00012751" w:rsidRDefault="00012751" w:rsidP="00456B10">
      <w:pPr>
        <w:spacing w:after="0" w:line="240" w:lineRule="auto"/>
      </w:pPr>
      <w:r>
        <w:separator/>
      </w:r>
    </w:p>
  </w:footnote>
  <w:footnote w:type="continuationSeparator" w:id="0">
    <w:p w14:paraId="6D354F0D" w14:textId="77777777" w:rsidR="00012751" w:rsidRDefault="00012751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5B6"/>
    <w:multiLevelType w:val="hybridMultilevel"/>
    <w:tmpl w:val="F3F6CD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10DF2"/>
    <w:multiLevelType w:val="hybridMultilevel"/>
    <w:tmpl w:val="F0D6CCF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185A"/>
    <w:rsid w:val="00012751"/>
    <w:rsid w:val="00012EB7"/>
    <w:rsid w:val="00013721"/>
    <w:rsid w:val="000201DC"/>
    <w:rsid w:val="00026E40"/>
    <w:rsid w:val="000354BD"/>
    <w:rsid w:val="0004535B"/>
    <w:rsid w:val="00046CDA"/>
    <w:rsid w:val="0005527E"/>
    <w:rsid w:val="0006436C"/>
    <w:rsid w:val="00064B34"/>
    <w:rsid w:val="00073971"/>
    <w:rsid w:val="00073EAD"/>
    <w:rsid w:val="000755BD"/>
    <w:rsid w:val="00086F66"/>
    <w:rsid w:val="00093E57"/>
    <w:rsid w:val="000B318A"/>
    <w:rsid w:val="000B6CC0"/>
    <w:rsid w:val="000C0B5A"/>
    <w:rsid w:val="000C132A"/>
    <w:rsid w:val="00101879"/>
    <w:rsid w:val="001165C1"/>
    <w:rsid w:val="00126463"/>
    <w:rsid w:val="00130059"/>
    <w:rsid w:val="00130BB8"/>
    <w:rsid w:val="00133ED0"/>
    <w:rsid w:val="001356BF"/>
    <w:rsid w:val="001366D9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B2DDC"/>
    <w:rsid w:val="001C31A3"/>
    <w:rsid w:val="001D410D"/>
    <w:rsid w:val="001E4117"/>
    <w:rsid w:val="00205B1F"/>
    <w:rsid w:val="00211E94"/>
    <w:rsid w:val="002213A4"/>
    <w:rsid w:val="00227BB0"/>
    <w:rsid w:val="002356F7"/>
    <w:rsid w:val="00242972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E32F4"/>
    <w:rsid w:val="002F58D3"/>
    <w:rsid w:val="00317D1C"/>
    <w:rsid w:val="0032702B"/>
    <w:rsid w:val="00331507"/>
    <w:rsid w:val="00340505"/>
    <w:rsid w:val="0034529E"/>
    <w:rsid w:val="00353AEB"/>
    <w:rsid w:val="0036215F"/>
    <w:rsid w:val="00370080"/>
    <w:rsid w:val="00392691"/>
    <w:rsid w:val="0039470A"/>
    <w:rsid w:val="003B5FFA"/>
    <w:rsid w:val="003B75B1"/>
    <w:rsid w:val="003C22FC"/>
    <w:rsid w:val="003C6CF4"/>
    <w:rsid w:val="003D162A"/>
    <w:rsid w:val="003D7A15"/>
    <w:rsid w:val="003F0400"/>
    <w:rsid w:val="003F638E"/>
    <w:rsid w:val="003F79DB"/>
    <w:rsid w:val="00403AF8"/>
    <w:rsid w:val="00415D38"/>
    <w:rsid w:val="00424470"/>
    <w:rsid w:val="00441DF2"/>
    <w:rsid w:val="0044744B"/>
    <w:rsid w:val="00454FA7"/>
    <w:rsid w:val="00456A46"/>
    <w:rsid w:val="00456B10"/>
    <w:rsid w:val="00461272"/>
    <w:rsid w:val="00465E45"/>
    <w:rsid w:val="00472E1B"/>
    <w:rsid w:val="0049115E"/>
    <w:rsid w:val="004953A3"/>
    <w:rsid w:val="004A07D6"/>
    <w:rsid w:val="004A109A"/>
    <w:rsid w:val="004A6906"/>
    <w:rsid w:val="004B483E"/>
    <w:rsid w:val="004B7061"/>
    <w:rsid w:val="004C7E44"/>
    <w:rsid w:val="004D7ACE"/>
    <w:rsid w:val="004D7E7C"/>
    <w:rsid w:val="004E70B5"/>
    <w:rsid w:val="004F1895"/>
    <w:rsid w:val="004F486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D65BA"/>
    <w:rsid w:val="005E14FC"/>
    <w:rsid w:val="005F7308"/>
    <w:rsid w:val="00600673"/>
    <w:rsid w:val="00616C80"/>
    <w:rsid w:val="006224A2"/>
    <w:rsid w:val="006239D3"/>
    <w:rsid w:val="0063223F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0A81"/>
    <w:rsid w:val="006D29FE"/>
    <w:rsid w:val="006F01F4"/>
    <w:rsid w:val="006F3077"/>
    <w:rsid w:val="006F3E8C"/>
    <w:rsid w:val="006F53F9"/>
    <w:rsid w:val="006F6F4D"/>
    <w:rsid w:val="00701722"/>
    <w:rsid w:val="0071016E"/>
    <w:rsid w:val="00710342"/>
    <w:rsid w:val="00722B6D"/>
    <w:rsid w:val="00730532"/>
    <w:rsid w:val="0075059F"/>
    <w:rsid w:val="00756A7C"/>
    <w:rsid w:val="00762BE0"/>
    <w:rsid w:val="00764A08"/>
    <w:rsid w:val="00790A1B"/>
    <w:rsid w:val="007970B6"/>
    <w:rsid w:val="007A09EB"/>
    <w:rsid w:val="007A3E9C"/>
    <w:rsid w:val="007B06D9"/>
    <w:rsid w:val="007B7096"/>
    <w:rsid w:val="007D627F"/>
    <w:rsid w:val="00803C63"/>
    <w:rsid w:val="00821D3D"/>
    <w:rsid w:val="00827724"/>
    <w:rsid w:val="00833B7F"/>
    <w:rsid w:val="00835BAF"/>
    <w:rsid w:val="00846DD8"/>
    <w:rsid w:val="008500D6"/>
    <w:rsid w:val="00851DED"/>
    <w:rsid w:val="00853972"/>
    <w:rsid w:val="0085681C"/>
    <w:rsid w:val="0086457C"/>
    <w:rsid w:val="00865DFC"/>
    <w:rsid w:val="00874926"/>
    <w:rsid w:val="0088245A"/>
    <w:rsid w:val="00891DAA"/>
    <w:rsid w:val="0089245E"/>
    <w:rsid w:val="008C0E18"/>
    <w:rsid w:val="008C560E"/>
    <w:rsid w:val="008C5752"/>
    <w:rsid w:val="008F48B7"/>
    <w:rsid w:val="009002F3"/>
    <w:rsid w:val="00906D18"/>
    <w:rsid w:val="00921D7A"/>
    <w:rsid w:val="009240C1"/>
    <w:rsid w:val="0094170D"/>
    <w:rsid w:val="00951C81"/>
    <w:rsid w:val="00951E02"/>
    <w:rsid w:val="00960F1D"/>
    <w:rsid w:val="00972D52"/>
    <w:rsid w:val="00974F10"/>
    <w:rsid w:val="009909C5"/>
    <w:rsid w:val="009A5F44"/>
    <w:rsid w:val="009C04F6"/>
    <w:rsid w:val="009C0BC1"/>
    <w:rsid w:val="009C7324"/>
    <w:rsid w:val="009D0684"/>
    <w:rsid w:val="009D3F08"/>
    <w:rsid w:val="009D4276"/>
    <w:rsid w:val="009E040A"/>
    <w:rsid w:val="009E2578"/>
    <w:rsid w:val="009E73B7"/>
    <w:rsid w:val="009F0CC1"/>
    <w:rsid w:val="009F68FE"/>
    <w:rsid w:val="00A000A5"/>
    <w:rsid w:val="00A24D42"/>
    <w:rsid w:val="00A315D9"/>
    <w:rsid w:val="00A37EF3"/>
    <w:rsid w:val="00A5108D"/>
    <w:rsid w:val="00A56BC1"/>
    <w:rsid w:val="00A60251"/>
    <w:rsid w:val="00A61859"/>
    <w:rsid w:val="00A66BE7"/>
    <w:rsid w:val="00A7095D"/>
    <w:rsid w:val="00A70B74"/>
    <w:rsid w:val="00A759D6"/>
    <w:rsid w:val="00A85F1F"/>
    <w:rsid w:val="00A8666C"/>
    <w:rsid w:val="00A86D60"/>
    <w:rsid w:val="00AA17BF"/>
    <w:rsid w:val="00AA79DF"/>
    <w:rsid w:val="00AB5422"/>
    <w:rsid w:val="00AC2DAC"/>
    <w:rsid w:val="00AE0987"/>
    <w:rsid w:val="00AE4A60"/>
    <w:rsid w:val="00AF0304"/>
    <w:rsid w:val="00AF42BA"/>
    <w:rsid w:val="00B127BB"/>
    <w:rsid w:val="00B13504"/>
    <w:rsid w:val="00B1412E"/>
    <w:rsid w:val="00B17FCC"/>
    <w:rsid w:val="00B26EF4"/>
    <w:rsid w:val="00B27FC9"/>
    <w:rsid w:val="00B377EE"/>
    <w:rsid w:val="00B40163"/>
    <w:rsid w:val="00B40B89"/>
    <w:rsid w:val="00B42D03"/>
    <w:rsid w:val="00B640BC"/>
    <w:rsid w:val="00B659DB"/>
    <w:rsid w:val="00B73845"/>
    <w:rsid w:val="00B73DA2"/>
    <w:rsid w:val="00B74D32"/>
    <w:rsid w:val="00B7784C"/>
    <w:rsid w:val="00B83223"/>
    <w:rsid w:val="00B954DE"/>
    <w:rsid w:val="00BA255A"/>
    <w:rsid w:val="00BB5EE7"/>
    <w:rsid w:val="00BC44A8"/>
    <w:rsid w:val="00BC4839"/>
    <w:rsid w:val="00C0389C"/>
    <w:rsid w:val="00C0465A"/>
    <w:rsid w:val="00C05D2C"/>
    <w:rsid w:val="00C17C80"/>
    <w:rsid w:val="00C307FA"/>
    <w:rsid w:val="00C3230F"/>
    <w:rsid w:val="00C40F3E"/>
    <w:rsid w:val="00C42807"/>
    <w:rsid w:val="00C45F9C"/>
    <w:rsid w:val="00C47521"/>
    <w:rsid w:val="00C5080C"/>
    <w:rsid w:val="00C52593"/>
    <w:rsid w:val="00C6242B"/>
    <w:rsid w:val="00C82B00"/>
    <w:rsid w:val="00C864ED"/>
    <w:rsid w:val="00C911B1"/>
    <w:rsid w:val="00C9319E"/>
    <w:rsid w:val="00C93833"/>
    <w:rsid w:val="00CA1A23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31381"/>
    <w:rsid w:val="00D337B0"/>
    <w:rsid w:val="00D34070"/>
    <w:rsid w:val="00D50A18"/>
    <w:rsid w:val="00D76B38"/>
    <w:rsid w:val="00D83126"/>
    <w:rsid w:val="00D8449A"/>
    <w:rsid w:val="00D9062A"/>
    <w:rsid w:val="00D92182"/>
    <w:rsid w:val="00D9536D"/>
    <w:rsid w:val="00DA0DD8"/>
    <w:rsid w:val="00DA4699"/>
    <w:rsid w:val="00DA684A"/>
    <w:rsid w:val="00DB71FD"/>
    <w:rsid w:val="00DC3A72"/>
    <w:rsid w:val="00DD1F14"/>
    <w:rsid w:val="00DD3A65"/>
    <w:rsid w:val="00DD4A1E"/>
    <w:rsid w:val="00DE1C2C"/>
    <w:rsid w:val="00DE7BE0"/>
    <w:rsid w:val="00DF3132"/>
    <w:rsid w:val="00E04731"/>
    <w:rsid w:val="00E160CC"/>
    <w:rsid w:val="00E23C24"/>
    <w:rsid w:val="00E270BB"/>
    <w:rsid w:val="00E33004"/>
    <w:rsid w:val="00E43313"/>
    <w:rsid w:val="00E55C04"/>
    <w:rsid w:val="00E70BBB"/>
    <w:rsid w:val="00E71E54"/>
    <w:rsid w:val="00E74AAE"/>
    <w:rsid w:val="00E87D6A"/>
    <w:rsid w:val="00E95E24"/>
    <w:rsid w:val="00EA066A"/>
    <w:rsid w:val="00EA2439"/>
    <w:rsid w:val="00EB1D7D"/>
    <w:rsid w:val="00EB2D60"/>
    <w:rsid w:val="00EB5B96"/>
    <w:rsid w:val="00EC1163"/>
    <w:rsid w:val="00EC4D3F"/>
    <w:rsid w:val="00EE660B"/>
    <w:rsid w:val="00EF44D3"/>
    <w:rsid w:val="00EF719C"/>
    <w:rsid w:val="00F07CB4"/>
    <w:rsid w:val="00F21817"/>
    <w:rsid w:val="00F21EE4"/>
    <w:rsid w:val="00F3336E"/>
    <w:rsid w:val="00F42222"/>
    <w:rsid w:val="00F527AC"/>
    <w:rsid w:val="00F64923"/>
    <w:rsid w:val="00F72327"/>
    <w:rsid w:val="00F831CA"/>
    <w:rsid w:val="00FA61A7"/>
    <w:rsid w:val="00FA62B1"/>
    <w:rsid w:val="00FA7551"/>
    <w:rsid w:val="00FB0992"/>
    <w:rsid w:val="00FB294B"/>
    <w:rsid w:val="00FB77CB"/>
    <w:rsid w:val="00FC035E"/>
    <w:rsid w:val="00FC415B"/>
    <w:rsid w:val="00FD60B8"/>
    <w:rsid w:val="00FE31A2"/>
    <w:rsid w:val="00FE7818"/>
    <w:rsid w:val="00FF54F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  <w:style w:type="paragraph" w:customStyle="1" w:styleId="Normal3">
    <w:name w:val="Normal3"/>
    <w:basedOn w:val="Normal"/>
    <w:rsid w:val="00C0389C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B94C-C29D-4D4B-BDCE-44D2DBD5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Laptop</dc:creator>
  <cp:lastModifiedBy>Mila Ilić</cp:lastModifiedBy>
  <cp:revision>2</cp:revision>
  <dcterms:created xsi:type="dcterms:W3CDTF">2025-02-25T09:02:00Z</dcterms:created>
  <dcterms:modified xsi:type="dcterms:W3CDTF">2025-02-25T09:02:00Z</dcterms:modified>
</cp:coreProperties>
</file>