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71A" w:rsidRPr="00D43FAA" w:rsidRDefault="00D43FAA">
      <w:pPr>
        <w:spacing w:line="210" w:lineRule="atLeast"/>
        <w:rPr>
          <w:rFonts w:ascii="Times New Roman" w:hAnsi="Times New Roman" w:cs="Times New Roman"/>
        </w:rPr>
      </w:pPr>
      <w:bookmarkStart w:id="0" w:name="_GoBack"/>
      <w:bookmarkEnd w:id="0"/>
      <w:r w:rsidRPr="00D43FAA">
        <w:rPr>
          <w:rFonts w:ascii="Times New Roman" w:eastAsia="Verdana" w:hAnsi="Times New Roman" w:cs="Times New Roman"/>
          <w:color w:val="000000"/>
        </w:rPr>
        <w:t xml:space="preserve">Преузето са </w:t>
      </w:r>
      <w:hyperlink r:id="rId4" w:history="1">
        <w:r w:rsidRPr="00D43FAA">
          <w:rPr>
            <w:rFonts w:ascii="Times New Roman" w:eastAsia="Verdana" w:hAnsi="Times New Roman" w:cs="Times New Roman"/>
            <w:color w:val="337AB7"/>
          </w:rPr>
          <w:t>https://pravno-informacioni-sistem.rs</w:t>
        </w:r>
      </w:hyperlink>
    </w:p>
    <w:p w:rsidR="001D671A" w:rsidRPr="00D43FAA" w:rsidRDefault="00D43FAA">
      <w:pPr>
        <w:spacing w:line="210" w:lineRule="atLeast"/>
        <w:rPr>
          <w:rFonts w:ascii="Times New Roman" w:hAnsi="Times New Roman" w:cs="Times New Roman"/>
        </w:rPr>
      </w:pPr>
      <w:r w:rsidRPr="00D43FAA">
        <w:rPr>
          <w:rFonts w:ascii="Times New Roman" w:eastAsia="Verdana" w:hAnsi="Times New Roman" w:cs="Times New Roman"/>
          <w:color w:val="000000"/>
        </w:rPr>
        <w:t>Службени гласник РС 80/2024, Датум: 4.10.2024.</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b/>
        </w:rPr>
        <w:t>4410</w:t>
      </w:r>
    </w:p>
    <w:p w:rsidR="001D671A" w:rsidRPr="00D43FAA" w:rsidRDefault="00D43FAA" w:rsidP="00D43FAA">
      <w:pPr>
        <w:spacing w:line="210" w:lineRule="atLeast"/>
        <w:jc w:val="center"/>
        <w:rPr>
          <w:rFonts w:ascii="Times New Roman" w:hAnsi="Times New Roman" w:cs="Times New Roman"/>
        </w:rPr>
      </w:pPr>
      <w:r w:rsidRPr="00D43FAA">
        <w:rPr>
          <w:rFonts w:ascii="Times New Roman" w:eastAsia="Verdana" w:hAnsi="Times New Roman" w:cs="Times New Roman"/>
        </w:rPr>
        <w:t>На основу члана 34. став 7. Закона о подстицајима у пољопривреди и руралном развоју („Службени гласник РС”, бр. 10/13, 142/14, 103/15, 101/16, 35/23 и 92/23),</w:t>
      </w:r>
    </w:p>
    <w:p w:rsidR="001D671A" w:rsidRPr="00D43FAA" w:rsidRDefault="00D43FAA" w:rsidP="00D43FAA">
      <w:pPr>
        <w:spacing w:line="210" w:lineRule="atLeast"/>
        <w:jc w:val="center"/>
        <w:rPr>
          <w:rFonts w:ascii="Times New Roman" w:hAnsi="Times New Roman" w:cs="Times New Roman"/>
        </w:rPr>
      </w:pPr>
      <w:r w:rsidRPr="00D43FAA">
        <w:rPr>
          <w:rFonts w:ascii="Times New Roman" w:eastAsia="Verdana" w:hAnsi="Times New Roman" w:cs="Times New Roman"/>
        </w:rPr>
        <w:t>Министар пољопривреде, шумарства и водопривреде доноси</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b/>
        </w:rPr>
        <w:t>ПРАВИЛНИК</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b/>
        </w:rPr>
        <w:t>о изменaмa и допуни Правилника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rPr>
        <w:t>Члан 1.</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У Правилнику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(„Службени гласник РС”, број 73/23), у члану 2. тачка 1), мења се и гласи:</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 xml:space="preserve">„1) </w:t>
      </w:r>
      <w:r w:rsidRPr="00D43FAA">
        <w:rPr>
          <w:rFonts w:ascii="Times New Roman" w:eastAsia="Verdana" w:hAnsi="Times New Roman" w:cs="Times New Roman"/>
          <w:i/>
        </w:rPr>
        <w:t>примарна пољопривредна производња</w:t>
      </w:r>
      <w:r w:rsidRPr="00D43FAA">
        <w:rPr>
          <w:rFonts w:ascii="Times New Roman" w:eastAsia="Verdana" w:hAnsi="Times New Roman" w:cs="Times New Roman"/>
        </w:rPr>
        <w:t xml:space="preserve"> у сточарству јесте узгој крава млечних и комбинованих раса у сврху производње крављег сировог млека, узгој оваца и коза у сврху производње овчијег и козијег сировог млека; тов јунади, производња јунећег/говеђег меса у систему „крава – телеˮ, производња прасади за тов, тов свиња, узгој оваца, коза, бројлера, гусака и ћурки у сврху производње меса; узгој кокошака носиља у сврху производње конзумних кокошијих јаја; као и узгој пчела у сврху производње меда и других пчелињих производа;ˮ.</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Тачка 3), мења се и гласи:</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 xml:space="preserve">„3) </w:t>
      </w:r>
      <w:r w:rsidRPr="00D43FAA">
        <w:rPr>
          <w:rFonts w:ascii="Times New Roman" w:eastAsia="Verdana" w:hAnsi="Times New Roman" w:cs="Times New Roman"/>
          <w:i/>
        </w:rPr>
        <w:t xml:space="preserve">живина </w:t>
      </w:r>
      <w:r w:rsidRPr="00D43FAA">
        <w:rPr>
          <w:rFonts w:ascii="Times New Roman" w:eastAsia="Verdana" w:hAnsi="Times New Roman" w:cs="Times New Roman"/>
        </w:rPr>
        <w:t>јесу: бројлери, гуске, ћурке и кокошке носиље;ˮ.</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rPr>
        <w:t>Члан 2.</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 xml:space="preserve">У члану 5. став 2. тачка 3), мења се и гласи: </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„3) пре подношења захтева за остваривање права на подстицаје у складу са овим правилником, у Регистру извршило обнову регистрације за текућу годину, у складу са посебним прописом којим се уређује упис у Регистар пољопривредних газдинстава, промена података и обнова регистрације, електронско поступање, као и услови за пасиван статус пољопривредног газдинства, осим ако је ново комерцијално породично пољопривредно газдинство, односно пољопривредно газдинство први пут уписано у Регистар у текућој години у којој се подноси захтев за остваривање права на подстицаје.ˮ.</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rPr>
        <w:t>Члан 3.</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У члану 6. тачка 4), мења се и гласи:</w:t>
      </w:r>
    </w:p>
    <w:p w:rsidR="00D43FAA" w:rsidRDefault="00D43FAA" w:rsidP="00D43FAA">
      <w:pPr>
        <w:spacing w:line="210" w:lineRule="atLeast"/>
        <w:jc w:val="both"/>
        <w:rPr>
          <w:rFonts w:ascii="Times New Roman" w:eastAsia="Verdana" w:hAnsi="Times New Roman" w:cs="Times New Roman"/>
        </w:rPr>
      </w:pPr>
      <w:r w:rsidRPr="00D43FAA">
        <w:rPr>
          <w:rFonts w:ascii="Times New Roman" w:eastAsia="Verdana" w:hAnsi="Times New Roman" w:cs="Times New Roman"/>
        </w:rPr>
        <w:t>„4) је инвестицију која је предмет захтева за остваривање права на подстицаје у потпуности реализовало у периоду од дана истека рока за подношење захтева за остваривање права на подстицаје по претходном јавном позиву у складу са овим правилником, а најкасније до дана подношења захтева за остваривање права на подстицаје по текућем јавном позиву у складу са овим правилником;ˮ.</w:t>
      </w:r>
    </w:p>
    <w:p w:rsidR="00D43FAA" w:rsidRDefault="00D43FAA">
      <w:pPr>
        <w:rPr>
          <w:rFonts w:ascii="Times New Roman" w:eastAsia="Verdana" w:hAnsi="Times New Roman" w:cs="Times New Roman"/>
        </w:rPr>
      </w:pPr>
      <w:r>
        <w:rPr>
          <w:rFonts w:ascii="Times New Roman" w:eastAsia="Verdana" w:hAnsi="Times New Roman" w:cs="Times New Roman"/>
        </w:rPr>
        <w:br w:type="page"/>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rPr>
        <w:lastRenderedPageBreak/>
        <w:t>Члан 4.</w:t>
      </w:r>
    </w:p>
    <w:p w:rsidR="001D671A" w:rsidRPr="00D43FAA" w:rsidRDefault="00D43FAA">
      <w:pPr>
        <w:spacing w:line="210" w:lineRule="atLeast"/>
        <w:rPr>
          <w:rFonts w:ascii="Times New Roman" w:hAnsi="Times New Roman" w:cs="Times New Roman"/>
        </w:rPr>
      </w:pPr>
      <w:r w:rsidRPr="00D43FAA">
        <w:rPr>
          <w:rFonts w:ascii="Times New Roman" w:eastAsia="Verdana" w:hAnsi="Times New Roman" w:cs="Times New Roman"/>
        </w:rPr>
        <w:t>Члан 7, мења се и гласи:</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rPr>
        <w:t>„Члан 7.</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Лице из члана 5. овог правилника, које испуњава опште услове из члана 6. овог правилника, остварује право на одговарајућу врсту подстицаја из члана 3. овог правилника, ако:</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 xml:space="preserve">1) су животиње обележене и регистроване у Централној бази података о обележавању животиња у складу са законом којим се уређује ветеринарство (у даљем тексту: Централна база), осим живине; </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2) је власник животиња или ако је власник животиња члан његовог породичног пољопривредног газдинства;</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 xml:space="preserve">3) испуњава посебне услове у зависности од врсте производње и предмета захтева за остваривање права на подстицаје, односно ако: </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 xml:space="preserve">(1) за инвестиције које се односе на производњу крављег млека, на пољопривредном газдинству има до највише 29 крава млечних и комбинованих раса пријављених у Централној бази; </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 xml:space="preserve">(2) за инвестиције које се односе на производњу овчијег и козијег млека, на пољопривредном газдинству има објекат за држање оваца и коза уписан у Регистар објеката, односно Регистар одобрених објеката у складу са законом којим се уређује ветеринарство; </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 xml:space="preserve">(3) за инвестиције које се односе на пчеларство, на пољопривредном газдинству има од пет до 1.000 кошница пчела пријављених у Централној бази; </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 xml:space="preserve">(4) за инвестиције које се односе на производњу меса, на пољопривредном газдинству има један или више објеката уписаних у Регистар објеката, односно Регистар одобрених објеката, у складу са законом којим се уређује ветеринарство, и то укупног капацитета: до највише 29 говеда, односно до највише 199 оваца и коза, односно до највише 29 крмача, односно до највише 199 товних свиња по турнусу, односно до највише 999 ћурки по турнусу, односно до највише 299 гусака по турнусу, односно до највише 4.999 бројлера по турнусу; </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(5) за инвестиције које се односе на производњу конзумних кокошијих јаја, на пољопривредном газдинству има један или више објеката уписаних у Регистар одобрених објеката у складу са законом којим се уређује ветеринарство, укупног капацитета до највише 4.999 кокошака носиља у експлоатацији.ˮ.</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rPr>
        <w:t>Члан 5.</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У члану 10. став 1, после речи: „еАграрˮ додаје се запета и речи: „следећа документација која се односи на реализацију инвестиције од стране подносиоца захтева, и тоˮ.</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rPr>
        <w:t>Члан 6.</w:t>
      </w:r>
    </w:p>
    <w:p w:rsidR="001D671A" w:rsidRPr="00D43FAA" w:rsidRDefault="00D43FAA">
      <w:pPr>
        <w:spacing w:line="210" w:lineRule="atLeast"/>
        <w:rPr>
          <w:rFonts w:ascii="Times New Roman" w:hAnsi="Times New Roman" w:cs="Times New Roman"/>
        </w:rPr>
      </w:pPr>
      <w:r w:rsidRPr="00D43FAA">
        <w:rPr>
          <w:rFonts w:ascii="Times New Roman" w:eastAsia="Verdana" w:hAnsi="Times New Roman" w:cs="Times New Roman"/>
        </w:rPr>
        <w:t>У члану 20. став 5. речи: „800.000 динараˮ замењују се речима: „1.500.000 динараˮ.</w:t>
      </w:r>
    </w:p>
    <w:p w:rsidR="00D43FAA" w:rsidRDefault="00D43FAA">
      <w:pPr>
        <w:rPr>
          <w:rFonts w:ascii="Times New Roman" w:eastAsia="Verdana" w:hAnsi="Times New Roman" w:cs="Times New Roman"/>
        </w:rPr>
      </w:pPr>
      <w:r>
        <w:rPr>
          <w:rFonts w:ascii="Times New Roman" w:eastAsia="Verdana" w:hAnsi="Times New Roman" w:cs="Times New Roman"/>
        </w:rPr>
        <w:br w:type="page"/>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rPr>
        <w:lastRenderedPageBreak/>
        <w:t>Члан 7.</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Захтеви за остваривање права на подстицаје поднети до дана ступања на снагу овог правилника решаваће се у складу са прописом који је био на снази у време њиховог подношења.</w:t>
      </w:r>
    </w:p>
    <w:p w:rsidR="001D671A" w:rsidRPr="00D43FAA" w:rsidRDefault="00D43FAA">
      <w:pPr>
        <w:spacing w:line="210" w:lineRule="atLeast"/>
        <w:jc w:val="center"/>
        <w:rPr>
          <w:rFonts w:ascii="Times New Roman" w:hAnsi="Times New Roman" w:cs="Times New Roman"/>
        </w:rPr>
      </w:pPr>
      <w:r w:rsidRPr="00D43FAA">
        <w:rPr>
          <w:rFonts w:ascii="Times New Roman" w:eastAsia="Verdana" w:hAnsi="Times New Roman" w:cs="Times New Roman"/>
        </w:rPr>
        <w:t>Члан 8.</w:t>
      </w:r>
    </w:p>
    <w:p w:rsidR="001D671A" w:rsidRPr="00D43FAA" w:rsidRDefault="00D43FAA" w:rsidP="00D43FAA">
      <w:pPr>
        <w:spacing w:line="210" w:lineRule="atLeast"/>
        <w:jc w:val="both"/>
        <w:rPr>
          <w:rFonts w:ascii="Times New Roman" w:hAnsi="Times New Roman" w:cs="Times New Roman"/>
        </w:rPr>
      </w:pPr>
      <w:r w:rsidRPr="00D43FAA">
        <w:rPr>
          <w:rFonts w:ascii="Times New Roman" w:eastAsia="Verdana" w:hAnsi="Times New Roman" w:cs="Times New Roman"/>
        </w:rPr>
        <w:t>Овај правилник ступа на снагу наредног дана од дана објављивања у „Службеном гласнику Републике Србијеˮ.</w:t>
      </w:r>
    </w:p>
    <w:p w:rsidR="001D671A" w:rsidRPr="00D43FAA" w:rsidRDefault="00D43FAA">
      <w:pPr>
        <w:spacing w:line="210" w:lineRule="atLeast"/>
        <w:jc w:val="right"/>
        <w:rPr>
          <w:rFonts w:ascii="Times New Roman" w:hAnsi="Times New Roman" w:cs="Times New Roman"/>
        </w:rPr>
      </w:pPr>
      <w:r w:rsidRPr="00D43FAA">
        <w:rPr>
          <w:rFonts w:ascii="Times New Roman" w:eastAsia="Verdana" w:hAnsi="Times New Roman" w:cs="Times New Roman"/>
        </w:rPr>
        <w:t>Број 002570078 2024 14840 007 001 012 001</w:t>
      </w:r>
    </w:p>
    <w:p w:rsidR="001D671A" w:rsidRPr="00D43FAA" w:rsidRDefault="00D43FAA">
      <w:pPr>
        <w:spacing w:line="210" w:lineRule="atLeast"/>
        <w:jc w:val="right"/>
        <w:rPr>
          <w:rFonts w:ascii="Times New Roman" w:hAnsi="Times New Roman" w:cs="Times New Roman"/>
        </w:rPr>
      </w:pPr>
      <w:r w:rsidRPr="00D43FAA">
        <w:rPr>
          <w:rFonts w:ascii="Times New Roman" w:eastAsia="Verdana" w:hAnsi="Times New Roman" w:cs="Times New Roman"/>
        </w:rPr>
        <w:t xml:space="preserve">У Београду, 2. октобра 2024. године </w:t>
      </w:r>
    </w:p>
    <w:p w:rsidR="001D671A" w:rsidRPr="00D43FAA" w:rsidRDefault="00D43FAA">
      <w:pPr>
        <w:spacing w:line="210" w:lineRule="atLeast"/>
        <w:jc w:val="right"/>
        <w:rPr>
          <w:rFonts w:ascii="Times New Roman" w:hAnsi="Times New Roman" w:cs="Times New Roman"/>
        </w:rPr>
      </w:pPr>
      <w:r w:rsidRPr="00D43FAA">
        <w:rPr>
          <w:rFonts w:ascii="Times New Roman" w:eastAsia="Verdana" w:hAnsi="Times New Roman" w:cs="Times New Roman"/>
        </w:rPr>
        <w:t>Министар,</w:t>
      </w:r>
    </w:p>
    <w:p w:rsidR="001D671A" w:rsidRPr="00D43FAA" w:rsidRDefault="00D43FAA">
      <w:pPr>
        <w:spacing w:line="210" w:lineRule="atLeast"/>
        <w:jc w:val="right"/>
        <w:rPr>
          <w:rFonts w:ascii="Times New Roman" w:hAnsi="Times New Roman" w:cs="Times New Roman"/>
        </w:rPr>
      </w:pPr>
      <w:r w:rsidRPr="00D43FAA">
        <w:rPr>
          <w:rFonts w:ascii="Times New Roman" w:eastAsia="Verdana" w:hAnsi="Times New Roman" w:cs="Times New Roman"/>
        </w:rPr>
        <w:t xml:space="preserve">др </w:t>
      </w:r>
      <w:r w:rsidRPr="00D43FAA">
        <w:rPr>
          <w:rFonts w:ascii="Times New Roman" w:eastAsia="Verdana" w:hAnsi="Times New Roman" w:cs="Times New Roman"/>
          <w:b/>
        </w:rPr>
        <w:t xml:space="preserve">Александар Мартиновић, </w:t>
      </w:r>
      <w:r w:rsidRPr="00D43FAA">
        <w:rPr>
          <w:rFonts w:ascii="Times New Roman" w:eastAsia="Verdana" w:hAnsi="Times New Roman" w:cs="Times New Roman"/>
        </w:rPr>
        <w:t>с.р.</w:t>
      </w:r>
    </w:p>
    <w:sectPr w:rsidR="001D671A" w:rsidRPr="00D43FA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1A"/>
    <w:rsid w:val="001D671A"/>
    <w:rsid w:val="00204EE2"/>
    <w:rsid w:val="00D43F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00F82-1D3F-4910-9E66-41D1666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Bačević</dc:creator>
  <cp:lastModifiedBy>Aleksandra Bačević</cp:lastModifiedBy>
  <cp:revision>2</cp:revision>
  <dcterms:created xsi:type="dcterms:W3CDTF">2024-10-07T07:17:00Z</dcterms:created>
  <dcterms:modified xsi:type="dcterms:W3CDTF">2024-10-07T07:17:00Z</dcterms:modified>
</cp:coreProperties>
</file>