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25BC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ahoma" w:hAnsi="Tahoma" w:cs="Tahoma"/>
          <w:color w:val="000000"/>
        </w:rPr>
        <w:t>﻿</w:t>
      </w:r>
      <w:r w:rsidRPr="00CE0BF8">
        <w:rPr>
          <w:rFonts w:ascii="Times New Roman" w:hAnsi="Times New Roman" w:cs="Times New Roman"/>
          <w:color w:val="000000"/>
        </w:rPr>
        <w:t xml:space="preserve">Преузето са </w:t>
      </w:r>
      <w:hyperlink r:id="rId4">
        <w:r w:rsidRPr="00CE0BF8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692C8C90" w14:textId="77777777" w:rsidR="000969CD" w:rsidRPr="00CE0BF8" w:rsidRDefault="00743B0F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3855</w:t>
      </w:r>
    </w:p>
    <w:p w14:paraId="6D196679" w14:textId="77777777" w:rsidR="000969CD" w:rsidRPr="00CE0BF8" w:rsidRDefault="00743B0F" w:rsidP="00CE0BF8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На основу члана 7a став 4. Закона о пољопривреди и руралном развоју („Службени гласник РС”, бр. 41/09, 10/1 – др. закон и 101/16),</w:t>
      </w:r>
    </w:p>
    <w:p w14:paraId="027D1AF5" w14:textId="77777777" w:rsidR="000969CD" w:rsidRPr="00CE0BF8" w:rsidRDefault="00743B0F" w:rsidP="00CE0BF8">
      <w:pPr>
        <w:spacing w:after="15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Министар пољопривреде, шумарства и водопривреде доноси</w:t>
      </w:r>
    </w:p>
    <w:p w14:paraId="147FEB2B" w14:textId="77777777" w:rsidR="000969CD" w:rsidRPr="00CE0BF8" w:rsidRDefault="00743B0F">
      <w:pPr>
        <w:spacing w:after="225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ПРАВИЛНИК</w:t>
      </w:r>
    </w:p>
    <w:p w14:paraId="0A6D9303" w14:textId="632FE59F" w:rsidR="000969CD" w:rsidRDefault="00743B0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CE0BF8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CE0BF8">
        <w:rPr>
          <w:rFonts w:ascii="Times New Roman" w:hAnsi="Times New Roman" w:cs="Times New Roman"/>
          <w:b/>
          <w:color w:val="000000"/>
        </w:rPr>
        <w:t xml:space="preserve"> изменама и допунама Правилника о ИПАРД подстицајима за диверзификацију пољопривредних газдинстава и развој пословања</w:t>
      </w:r>
    </w:p>
    <w:p w14:paraId="3F88E605" w14:textId="2EB731B6" w:rsidR="002E69C1" w:rsidRPr="002E69C1" w:rsidRDefault="002E69C1">
      <w:pPr>
        <w:spacing w:after="1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87/2021 од 10.09.2021. године)</w:t>
      </w:r>
      <w:bookmarkStart w:id="0" w:name="_GoBack"/>
      <w:bookmarkEnd w:id="0"/>
    </w:p>
    <w:p w14:paraId="28ADA206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1.</w:t>
      </w:r>
    </w:p>
    <w:p w14:paraId="282D820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Правилнику о ИПАРД подстицајима за диверзификацију пољопривредних газдинстава и развој пословања („Службени гласник РС”, број 76/20), у члану 2. тачка 6) мења се и гласи:</w:t>
      </w:r>
    </w:p>
    <w:p w14:paraId="74E2ACD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„6) </w:t>
      </w:r>
      <w:r w:rsidRPr="00CE0BF8">
        <w:rPr>
          <w:rFonts w:ascii="Times New Roman" w:hAnsi="Times New Roman" w:cs="Times New Roman"/>
          <w:i/>
          <w:color w:val="000000"/>
        </w:rPr>
        <w:t>реализација инвестиције</w:t>
      </w:r>
      <w:r w:rsidRPr="00CE0BF8">
        <w:rPr>
          <w:rFonts w:ascii="Times New Roman" w:hAnsi="Times New Roman" w:cs="Times New Roman"/>
          <w:color w:val="000000"/>
        </w:rPr>
        <w:t xml:space="preserve"> јесте извршење свих радњи везаних за изградњу и набавку предмета прихватљиве инвестиције (промет робе и услуга, издавање докумената који прате робу, преузимање робе, пријем радова, исплата цене у потпуности), као и стављање инвестиције у функцију у складу са наменом;”.</w:t>
      </w:r>
    </w:p>
    <w:p w14:paraId="370ECEC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Тачка 7) мења се и гласи:</w:t>
      </w:r>
    </w:p>
    <w:p w14:paraId="4E1FE4E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„7) </w:t>
      </w:r>
      <w:proofErr w:type="gramStart"/>
      <w:r w:rsidRPr="00CE0BF8">
        <w:rPr>
          <w:rFonts w:ascii="Times New Roman" w:hAnsi="Times New Roman" w:cs="Times New Roman"/>
          <w:i/>
          <w:color w:val="000000"/>
        </w:rPr>
        <w:t>место</w:t>
      </w:r>
      <w:proofErr w:type="gramEnd"/>
      <w:r w:rsidRPr="00CE0BF8">
        <w:rPr>
          <w:rFonts w:ascii="Times New Roman" w:hAnsi="Times New Roman" w:cs="Times New Roman"/>
          <w:i/>
          <w:color w:val="000000"/>
        </w:rPr>
        <w:t xml:space="preserve"> инвестиције</w:t>
      </w:r>
      <w:r w:rsidRPr="00CE0BF8">
        <w:rPr>
          <w:rFonts w:ascii="Times New Roman" w:hAnsi="Times New Roman" w:cs="Times New Roman"/>
          <w:color w:val="000000"/>
        </w:rPr>
        <w:t xml:space="preserve"> јесте катастарска парцела на којој се врши изградња или опремање објекта, односно, катастарска парцела на којој се користи опрема, машина или механизација које су предмет захтева и која се налази у руралном подручју;ˮ.</w:t>
      </w:r>
    </w:p>
    <w:p w14:paraId="389CB993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2.</w:t>
      </w:r>
    </w:p>
    <w:p w14:paraId="6F87FF7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5. став 1. тачка 11) после речи: „у динарској противвредности додају се запета и речи: „без ПДВ-аˮ.</w:t>
      </w:r>
    </w:p>
    <w:p w14:paraId="4F60418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ставу 2. после речи: „предмет захтеваˮ додају се речи: „за одобравање пројектаˮ.</w:t>
      </w:r>
    </w:p>
    <w:p w14:paraId="3ABE0AF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После става 3. додаје се став 4, који гласи:</w:t>
      </w:r>
    </w:p>
    <w:p w14:paraId="27B69CE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„Ако је предмет захтева инвестиција у изградњу објекта на коме су поједине врсте радова реализоване пре подношења захтева за одобравање пројекта, лице из члана 3. овог правилника остварује право на одобравање пројекта и ако има привремену ситуацију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радове, до дана подношења захтева за одобравање пројекта.ˮ.</w:t>
      </w:r>
    </w:p>
    <w:p w14:paraId="23AE7CEC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3.</w:t>
      </w:r>
    </w:p>
    <w:p w14:paraId="77FB413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7. став 2. речи: „најмање 5.000 евраˮ замењују се речима: „најмање 20.000 евраˮ.</w:t>
      </w:r>
    </w:p>
    <w:p w14:paraId="7D031414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4.</w:t>
      </w:r>
    </w:p>
    <w:p w14:paraId="7A264FC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8. после става 3. додаје се став 4, који гласи:</w:t>
      </w:r>
    </w:p>
    <w:p w14:paraId="2ACE8F2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„Трошкови из става 1. овог члана који се односе на студије изводљивости у вези са пројектом прихватљиви су за инвестиције за производњу енергије из обновљивих извора, у складу са законом којим се уређује планирање и изградња.”.</w:t>
      </w:r>
    </w:p>
    <w:p w14:paraId="5155D41B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5.</w:t>
      </w:r>
    </w:p>
    <w:p w14:paraId="64B6F7F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11. став 5. тачка 1) после речи: „предрачуном радоваˮ додају се запета и речи: „у електронској и папирној формиˮ.</w:t>
      </w:r>
    </w:p>
    <w:p w14:paraId="5A535E4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После става 8. додају се нови ст. 9. и 10, који гласе:</w:t>
      </w:r>
    </w:p>
    <w:p w14:paraId="4B548F5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„За инвестиције у изградњу објекта на коме су поједине врсте радова реализоване пре подношења захтева за одобравање пројекта, доставља се и привремена ситуација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радове, до дана подношења захтева за одобравање пројекта.</w:t>
      </w:r>
    </w:p>
    <w:p w14:paraId="060B529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За инвестиције у обновљиве изворе енергије доставља се и претходна студија изводљивости или студија оправданости у складу са законом којим се уређује планирање и изградњаˮ.</w:t>
      </w:r>
    </w:p>
    <w:p w14:paraId="7B6B88B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досадашњем ставу 9, који постаје став 11. речи: „уз захтев подноси и диплому, односно уверење или сведочанствоˮ замењују се речима: „уз захтев подноси и копију дипломе, односно уверења или сведочанстваˮ.</w:t>
      </w:r>
    </w:p>
    <w:p w14:paraId="676816D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Досадашњи ст. 10. и 11. постају ст. 12. и 13.</w:t>
      </w:r>
    </w:p>
    <w:p w14:paraId="1F401709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6.</w:t>
      </w:r>
    </w:p>
    <w:p w14:paraId="78C0763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17. став 2. тачка 1) речи: „у моменту издавања решења о одобрењу пројекта”, замењују се речима: „на дан подношења захтева за одобравање пројектаˮ.</w:t>
      </w:r>
    </w:p>
    <w:p w14:paraId="0A83A31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тачки 2) речи: „у моменту издавања решења о одобрењу пројектаˮ замењују се речима: „на дан подношења захтева за одобравање пројектаˮ.</w:t>
      </w:r>
    </w:p>
    <w:p w14:paraId="7714D9CF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7.</w:t>
      </w:r>
    </w:p>
    <w:p w14:paraId="75F4D15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20. став 1. тачка 11) тачка на крају замењује се тачком запетом.</w:t>
      </w:r>
    </w:p>
    <w:p w14:paraId="4C0FA2E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После тачке 11) додаје се тачка 12), која гласи:</w:t>
      </w:r>
    </w:p>
    <w:p w14:paraId="0EE8C5C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„12) опрема која је предмет инвестиције, налази се на месту инвестиције.ˮ.</w:t>
      </w:r>
    </w:p>
    <w:p w14:paraId="12F8C2BB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8.</w:t>
      </w:r>
    </w:p>
    <w:p w14:paraId="6C534C6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члану 22. став 1. тачка 2) запета и реч: „односноˮ, замењују се речима: „од домаћег добављача, аˮ.</w:t>
      </w:r>
    </w:p>
    <w:p w14:paraId="52A8299F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9.</w:t>
      </w:r>
    </w:p>
    <w:p w14:paraId="185196C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Прилог 1 – Листа прихватљивих инвестиција и трошкова и Прилог 7 – Обележавање предмета инвестиције, који су одштампани уз Правилник о ИПАРД подстицајима за инвестиције у диверзификацију пољопривредних газдинстава и развој пословања („Службени гласник РС”, број 76/20) и чине његов саставни део, замењују се новим Прилогом 1 – Листа прихватљивих инвестиција и трошкова и Прилогом 7 – Обележавање предмета инвестиције, који су одштампани уз овај правилник и чине његов саставни део.</w:t>
      </w:r>
    </w:p>
    <w:p w14:paraId="0D12E861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Члан 10.</w:t>
      </w:r>
    </w:p>
    <w:p w14:paraId="296983A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Захтеви за остваривање права на ИПАРД подстицаје поднети до дана ступања на снагу овог правилника решаваће се у складу са прописом који је био на снази у време њиховог подношења.</w:t>
      </w:r>
    </w:p>
    <w:p w14:paraId="4FECF3F6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Члан 11.</w:t>
      </w:r>
    </w:p>
    <w:p w14:paraId="5058111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Оваj правилник ступа на снагу наредног дана од дана објављивања у „Службеном гласнику Републике Србије”.</w:t>
      </w:r>
    </w:p>
    <w:p w14:paraId="5D946856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Број 110-00-00102/2021-09</w:t>
      </w:r>
    </w:p>
    <w:p w14:paraId="217381F0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 Београду, 1. септембра 2021. године</w:t>
      </w:r>
    </w:p>
    <w:p w14:paraId="674C8DBB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Министар,</w:t>
      </w:r>
    </w:p>
    <w:p w14:paraId="7EE62BF3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Бранислав Недимовић,</w:t>
      </w:r>
      <w:r w:rsidRPr="00CE0BF8">
        <w:rPr>
          <w:rFonts w:ascii="Times New Roman" w:hAnsi="Times New Roman" w:cs="Times New Roman"/>
          <w:color w:val="000000"/>
        </w:rPr>
        <w:t xml:space="preserve"> с.р.</w:t>
      </w:r>
    </w:p>
    <w:p w14:paraId="5F31147E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Прилог 1</w:t>
      </w:r>
    </w:p>
    <w:p w14:paraId="78EC127E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ЛИСТА ПРИХВАТЉИВИХ ИНВЕСТИЦИЈА И ТРОШКОВА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969CD" w:rsidRPr="00CE0BF8" w14:paraId="574A64BD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138E5B1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bookmarkStart w:id="1" w:name="table002"/>
            <w:r w:rsidRPr="00CE0BF8">
              <w:rPr>
                <w:rFonts w:ascii="Times New Roman" w:hAnsi="Times New Roman" w:cs="Times New Roman"/>
                <w:b/>
                <w:color w:val="000000"/>
              </w:rPr>
              <w:t>2. ОПШТИ ТРОШАК</w:t>
            </w:r>
          </w:p>
        </w:tc>
      </w:tr>
      <w:tr w:rsidR="000969CD" w:rsidRPr="00CE0BF8" w14:paraId="00E856B9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5C07948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14:paraId="29D8FDA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  <w:p w14:paraId="0487622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2.3. Трошкови припреме документације за ИПАРД подршку (консултантске услуге);</w:t>
            </w:r>
          </w:p>
          <w:p w14:paraId="58CE643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пројекат/бизнис план.</w:t>
            </w:r>
          </w:p>
        </w:tc>
      </w:tr>
      <w:tr w:rsidR="000969CD" w:rsidRPr="00CE0BF8" w14:paraId="621AFDFC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6C53B38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</w:tr>
      <w:tr w:rsidR="000969CD" w:rsidRPr="00CE0BF8" w14:paraId="3A4CED07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408E9DEA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4. ГРАЂЕВИНСКИ РАДОВИ</w:t>
            </w:r>
          </w:p>
        </w:tc>
      </w:tr>
      <w:tr w:rsidR="000969CD" w:rsidRPr="00CE0BF8" w14:paraId="494E093E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342E094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4.1. Припремни радови;</w:t>
            </w:r>
          </w:p>
          <w:p w14:paraId="65269333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4.2. Рушење и демонтажа;</w:t>
            </w:r>
          </w:p>
          <w:p w14:paraId="13EA046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4.3. Земљани радови;</w:t>
            </w:r>
          </w:p>
          <w:p w14:paraId="13B7234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4.4. Бетонски радови;</w:t>
            </w:r>
          </w:p>
          <w:p w14:paraId="73D1486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4.5. Армирано-бетонски радови;</w:t>
            </w:r>
          </w:p>
          <w:p w14:paraId="3ED3DA62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4.6. Инсталатерски радови;</w:t>
            </w:r>
          </w:p>
          <w:p w14:paraId="606DAD5A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4.7. Столарски радови;</w:t>
            </w:r>
          </w:p>
          <w:p w14:paraId="6AA0480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4.8. Зидарски радови;</w:t>
            </w:r>
          </w:p>
          <w:p w14:paraId="21F8622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4.9. Изолациони радови;</w:t>
            </w:r>
          </w:p>
          <w:p w14:paraId="50DA46B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4.10. Кровнопокривачки радови;</w:t>
            </w:r>
          </w:p>
          <w:p w14:paraId="60D6A39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4.11. Готове конструкције и елементи;</w:t>
            </w:r>
          </w:p>
          <w:p w14:paraId="254E563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мреже.</w:t>
            </w:r>
          </w:p>
        </w:tc>
      </w:tr>
      <w:tr w:rsidR="000969CD" w:rsidRPr="00CE0BF8" w14:paraId="1E453C80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51C56F22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lastRenderedPageBreak/>
              <w:t>5. ЗАНАТСКИ РАДОВИ</w:t>
            </w:r>
          </w:p>
        </w:tc>
      </w:tr>
      <w:tr w:rsidR="000969CD" w:rsidRPr="00CE0BF8" w14:paraId="5CF05F90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612EC97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5.1. Лимарски радови;</w:t>
            </w:r>
          </w:p>
          <w:p w14:paraId="5AF4120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5.2. Столарски радови;</w:t>
            </w:r>
          </w:p>
          <w:p w14:paraId="6064860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5.3. Браварски радови;</w:t>
            </w:r>
          </w:p>
          <w:p w14:paraId="0B76EBE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5.4. Стаклорезачки радови;</w:t>
            </w:r>
          </w:p>
          <w:p w14:paraId="6C44AE3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5.5. Гипсани радови;</w:t>
            </w:r>
          </w:p>
          <w:p w14:paraId="21DC881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5.6. Подне и зидне облоге;</w:t>
            </w:r>
          </w:p>
          <w:p w14:paraId="245E9E6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5.7. Каменорезачки радови;</w:t>
            </w:r>
          </w:p>
        </w:tc>
      </w:tr>
      <w:tr w:rsidR="000969CD" w:rsidRPr="00CE0BF8" w14:paraId="0EC353E3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0C8EF85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5.8. Керамички радови;</w:t>
            </w:r>
          </w:p>
          <w:p w14:paraId="63DA2A6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5.9. Подополагачки радови;</w:t>
            </w:r>
          </w:p>
          <w:p w14:paraId="439A650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5.10. Молерски и тапетарски радови;</w:t>
            </w:r>
          </w:p>
          <w:p w14:paraId="15217CD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5.11. Фасадни радови;</w:t>
            </w:r>
          </w:p>
          <w:p w14:paraId="40BEA3F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5.12. Облагање даскама, каменим плочама или плочама од вештачких материјала (прихватљиво само за Меру 7);</w:t>
            </w:r>
          </w:p>
          <w:p w14:paraId="6CA4F12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5.13. Завршни монтажни радови (прихватљиво само за Меру 7).</w:t>
            </w:r>
          </w:p>
        </w:tc>
      </w:tr>
      <w:tr w:rsidR="000969CD" w:rsidRPr="00CE0BF8" w14:paraId="21D1626B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7675D74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6. ИНСТАЛАТЕРСКИ РАДОВИ</w:t>
            </w:r>
          </w:p>
        </w:tc>
      </w:tr>
      <w:tr w:rsidR="000969CD" w:rsidRPr="00CE0BF8" w14:paraId="0F87FA78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78B9543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6.1. Електро-инсталациони радови;</w:t>
            </w:r>
          </w:p>
          <w:p w14:paraId="78E1E99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6.2. Водоводни и канализациони радови;</w:t>
            </w:r>
          </w:p>
          <w:p w14:paraId="0DCC78F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6.3. Гасне инсталације;</w:t>
            </w:r>
          </w:p>
          <w:p w14:paraId="78496D7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6.4. Инсталације централног грејања;</w:t>
            </w:r>
          </w:p>
          <w:p w14:paraId="33F9C1A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мреже.</w:t>
            </w:r>
          </w:p>
        </w:tc>
      </w:tr>
      <w:tr w:rsidR="000969CD" w:rsidRPr="00CE0BF8" w14:paraId="1E8D00D3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6EA0814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8. ПЕЈЗАЖНИ РАДОВИ И ПРИЛАЗНИ ПУТЕВИ</w:t>
            </w:r>
          </w:p>
        </w:tc>
      </w:tr>
      <w:tr w:rsidR="000969CD" w:rsidRPr="00CE0BF8" w14:paraId="40975AD6" w14:textId="77777777" w:rsidTr="00CE0BF8">
        <w:trPr>
          <w:trHeight w:val="90"/>
        </w:trPr>
        <w:tc>
          <w:tcPr>
            <w:tcW w:w="14400" w:type="dxa"/>
            <w:vAlign w:val="center"/>
          </w:tcPr>
          <w:p w14:paraId="22656BC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8.1. Уређење екстеријера;</w:t>
            </w:r>
          </w:p>
          <w:p w14:paraId="27E3A16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8.2. Изградња унутрашњих путева и тротоара;</w:t>
            </w:r>
          </w:p>
          <w:p w14:paraId="62B4DC6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8.3. Потпорни и заштитни зидови;</w:t>
            </w:r>
          </w:p>
          <w:p w14:paraId="4F77C39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8.4. Асфалтирање.</w:t>
            </w:r>
          </w:p>
        </w:tc>
      </w:tr>
      <w:bookmarkEnd w:id="1"/>
    </w:tbl>
    <w:p w14:paraId="6A7FABE8" w14:textId="77777777" w:rsidR="00CE0BF8" w:rsidRDefault="00CE0BF8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09849B90" w14:textId="7BB85AC8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3. ЛИСТА ПРИХВАТЉИВИХ ИНВЕСТИЦИЈА И ТРОШКОВА М7 – „ДИВЕРЗИФИКАЦИЈА ПОЉОПРИВРЕДНИХ ГАЗИНСТАВА И РАЗВОЈ ПОСЛОВАЊА”</w:t>
      </w:r>
    </w:p>
    <w:p w14:paraId="3F50924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Листа прихватљивих трошкова (ЛПТ) за Меру 7 – Диверзификација пољопривредних газдинстава и развој пословања у складу је са чланом 33 (2) Секторског споразума. Директно је повезана са поглављем 8.6.8 у ИПАРД II програму. У случају неслагања ЛПТ са ИПАРД II програмом, примењују се одредбе из ИПАРД II програма.</w:t>
      </w:r>
    </w:p>
    <w:p w14:paraId="11091CD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Листа прихватљивих трошкова по типу активности диверзификације: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17"/>
      </w:tblGrid>
      <w:tr w:rsidR="000969CD" w:rsidRPr="00CE0BF8" w14:paraId="03293162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20A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bookmarkStart w:id="2" w:name="table003"/>
            <w:r w:rsidRPr="00CE0BF8">
              <w:rPr>
                <w:rFonts w:ascii="Times New Roman" w:hAnsi="Times New Roman" w:cs="Times New Roman"/>
                <w:b/>
                <w:color w:val="000000"/>
              </w:rPr>
              <w:t>7.1. СЕКТОР РУРАЛНОГ ТУРИЗМА</w:t>
            </w:r>
          </w:p>
        </w:tc>
      </w:tr>
      <w:tr w:rsidR="000969CD" w:rsidRPr="00CE0BF8" w14:paraId="790837A0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357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7.1.1.</w:t>
            </w:r>
            <w:r w:rsidRPr="00CE0B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BF8">
              <w:rPr>
                <w:rFonts w:ascii="Times New Roman" w:hAnsi="Times New Roman" w:cs="Times New Roman"/>
                <w:b/>
                <w:color w:val="000000"/>
              </w:rPr>
              <w:t>Изградња</w:t>
            </w:r>
          </w:p>
        </w:tc>
      </w:tr>
      <w:tr w:rsidR="000969CD" w:rsidRPr="00CE0BF8" w14:paraId="14DAD2E4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FB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7.1.1.1. Категорисани објекат за пружање туристичких, односно угоститељских услуга;*</w:t>
            </w:r>
          </w:p>
        </w:tc>
      </w:tr>
      <w:tr w:rsidR="000969CD" w:rsidRPr="00CE0BF8" w14:paraId="0B2E2709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A0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 Пратећи објекат за пружање угоститељских, односно туристичких услуга;*</w:t>
            </w:r>
          </w:p>
        </w:tc>
      </w:tr>
      <w:tr w:rsidR="000969CD" w:rsidRPr="00CE0BF8" w14:paraId="7B0D29C9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B9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7.1.1.2.1. Туристичка инфраструктура: објекти/простор за предах, рекреацију, едукацију и забаву туриста, тематски и забавни парк, одмориштe поред путa, терен за тенис, отворени и затворени објекaт спортске рекреације, дечје игралиште, малa вештачкa акумулацијa са купалиштем, забавно рекреативнa стазa и пут, објекaт за посматрање природних реткости, објекaт за предах и краће задржавање туриста, објекaт за авантуристичке активности;</w:t>
            </w:r>
          </w:p>
        </w:tc>
      </w:tr>
      <w:tr w:rsidR="000969CD" w:rsidRPr="00CE0BF8" w14:paraId="4933903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1D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7.1.1.2.2. Базен за купање, велнес објекaт;</w:t>
            </w:r>
          </w:p>
        </w:tc>
      </w:tr>
      <w:tr w:rsidR="000969CD" w:rsidRPr="00CE0BF8" w14:paraId="0C25EAD2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B2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7.1.1.2.3. Складишна и продајна просторија у оквиру газдинства за храну, пиће и домаћу радиност;</w:t>
            </w:r>
          </w:p>
        </w:tc>
      </w:tr>
      <w:tr w:rsidR="000969CD" w:rsidRPr="00CE0BF8" w14:paraId="26F06070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33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7.1.1.2.4. Објекат/простор за дегустацију хране и пића;</w:t>
            </w:r>
          </w:p>
        </w:tc>
      </w:tr>
      <w:tr w:rsidR="000969CD" w:rsidRPr="00CE0BF8" w14:paraId="7FA41F3A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1C8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7.1.1.2.5. Пејзажно уређење у оквиру туристичког пројекта;</w:t>
            </w:r>
          </w:p>
        </w:tc>
      </w:tr>
      <w:tr w:rsidR="000969CD" w:rsidRPr="00CE0BF8" w14:paraId="2D9C3793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F1B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7.1.1.2.6. Простор за држање опреме за рекреацију;</w:t>
            </w:r>
          </w:p>
        </w:tc>
      </w:tr>
      <w:tr w:rsidR="000969CD" w:rsidRPr="00CE0BF8" w14:paraId="506473F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56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7.1.1.2.7. Објекат за смештај животиња и мањеж у сврху туризма;</w:t>
            </w:r>
          </w:p>
        </w:tc>
      </w:tr>
      <w:tr w:rsidR="000969CD" w:rsidRPr="00CE0BF8" w14:paraId="7677765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9B8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7.1.1.2.8. Инфраструктура за приступ објекту особама са инвалидитетом (санитарни објекти, асфалтирање прилаза објекту, уклањање ивичњака, постављање металне конструкције и/или рампе и/или гелендера);</w:t>
            </w:r>
          </w:p>
        </w:tc>
      </w:tr>
      <w:tr w:rsidR="000969CD" w:rsidRPr="00CE0BF8" w14:paraId="27CB99E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0B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7.1.1.2.9. Паркинг као део туристичког пројекта;</w:t>
            </w:r>
          </w:p>
        </w:tc>
      </w:tr>
      <w:tr w:rsidR="000969CD" w:rsidRPr="00CE0BF8" w14:paraId="5262E87D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C3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7.1.1.2.10. Остали објекти који су повезани са пројектном инвестицијом (објекти за одлагање/држање пловила, механизације и опреме у сврху обављања туристичке/угоститељске делатности).</w:t>
            </w:r>
          </w:p>
        </w:tc>
      </w:tr>
      <w:tr w:rsidR="000969CD" w:rsidRPr="00CE0BF8" w14:paraId="7432FFAF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7D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7.1.2. Машине, механизација и опрема</w:t>
            </w:r>
          </w:p>
        </w:tc>
      </w:tr>
      <w:tr w:rsidR="000969CD" w:rsidRPr="00CE0BF8" w14:paraId="6D44BA96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6B5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7.1.2.1. Опрема за категорисане и пратеће објекте/просторије за пружање угоститељских, односно туристичких услуга (намештај, телевизијска опрема, сателитски пријемници, радио, аудио-опремa, машине и опрема за прање, сушење, пеглање), осим ситног угоститељског инвентара;</w:t>
            </w:r>
          </w:p>
        </w:tc>
      </w:tr>
      <w:tr w:rsidR="000969CD" w:rsidRPr="00CE0BF8" w14:paraId="09BC76FF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0EB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7.1.2.2. Машине, механизација и опрема за одржавање простора око туристичко-угоститељског објекта, за туристичко-угоститељске сврхе (изузимајући тракторе);</w:t>
            </w:r>
          </w:p>
        </w:tc>
      </w:tr>
      <w:tr w:rsidR="000969CD" w:rsidRPr="00CE0BF8" w14:paraId="5FFADFD5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96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7.1.2.3. Опрема за туристичку инфраструктуру;</w:t>
            </w:r>
          </w:p>
        </w:tc>
      </w:tr>
      <w:tr w:rsidR="000969CD" w:rsidRPr="00CE0BF8" w14:paraId="1664A930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DD8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7.1.2.4. Опрема за складишне и продајне објекте/просторе за храну, пиће и домаћу радиност;</w:t>
            </w:r>
          </w:p>
        </w:tc>
      </w:tr>
      <w:tr w:rsidR="000969CD" w:rsidRPr="00CE0BF8" w14:paraId="63FDD16F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6C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7.1.2.5. Чамац и плутајући објекат/грађевина за спорт и разоноду, на весла и/или мотор снаге до 5 kW, као и опрема за њихов транспорт;</w:t>
            </w:r>
          </w:p>
        </w:tc>
      </w:tr>
      <w:tr w:rsidR="000969CD" w:rsidRPr="00CE0BF8" w14:paraId="2CB8600C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7CC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lastRenderedPageBreak/>
              <w:t>7.1.2.6. Опрема за уређење подручја за камповање (светлосна сигнализација, осветљење, рампе);</w:t>
            </w:r>
          </w:p>
        </w:tc>
      </w:tr>
      <w:tr w:rsidR="000969CD" w:rsidRPr="00CE0BF8" w14:paraId="76C82E8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034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7.1.2.7. Опрема за пејзажно уређење у оквиру туристичког пројекта (укључујући опрему за игралишта и терене);</w:t>
            </w:r>
          </w:p>
        </w:tc>
      </w:tr>
      <w:tr w:rsidR="000969CD" w:rsidRPr="00CE0BF8" w14:paraId="58A4A273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7AA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7.1.2.8. Бицикл са опремом и бициклистичка сигурносна опрема;</w:t>
            </w:r>
          </w:p>
        </w:tc>
      </w:tr>
      <w:tr w:rsidR="000969CD" w:rsidRPr="00CE0BF8" w14:paraId="6FF9077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5C3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7.1.2.9. Рачунар (персонални рачунар или лаптоп) и рачунарска опрема;</w:t>
            </w:r>
          </w:p>
        </w:tc>
      </w:tr>
      <w:tr w:rsidR="000969CD" w:rsidRPr="00CE0BF8" w14:paraId="01E90A64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0F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7.1.2.10. Софтвер у сврху туристичког пројекта и израда веб-сајта;</w:t>
            </w:r>
          </w:p>
        </w:tc>
      </w:tr>
      <w:tr w:rsidR="000969CD" w:rsidRPr="00CE0BF8" w14:paraId="1435AA81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CD1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7.1.2.11. Опрема за водоснабдевање и снабдевање електричном енергијом, укључујући електрични генератор, грејање, вентилацију, канализацију и климатизацију;</w:t>
            </w:r>
          </w:p>
        </w:tc>
      </w:tr>
      <w:tr w:rsidR="000969CD" w:rsidRPr="00CE0BF8" w14:paraId="08664ABB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28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7.1.2.12. Опрема која омогућава приступ отвореним и затвореним просторима/површинама;</w:t>
            </w:r>
          </w:p>
        </w:tc>
      </w:tr>
      <w:tr w:rsidR="000969CD" w:rsidRPr="00CE0BF8" w14:paraId="583B9236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18D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7.1.2.13. Опрема за санитарне објекте.</w:t>
            </w:r>
          </w:p>
        </w:tc>
      </w:tr>
      <w:tr w:rsidR="000969CD" w:rsidRPr="00CE0BF8" w14:paraId="3E17FD47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25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b/>
                <w:color w:val="000000"/>
              </w:rPr>
              <w:t>7.1.3. Производња енергије из обновљивих извора енергије у циљу обављања регистроване угоститељске, односно туристичке делатности</w:t>
            </w:r>
          </w:p>
        </w:tc>
      </w:tr>
      <w:tr w:rsidR="000969CD" w:rsidRPr="00CE0BF8" w14:paraId="7A0F2E45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AA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7.1.3.1. Изградња постројења за производњу енергије из обновљивих извора, укључујући прикључак између постројења и дистрибутивне мреже/од постројења до објекта, као и елементе система даљинског грејања, и то нарочито за следеће врсте постројења:</w:t>
            </w:r>
          </w:p>
          <w:p w14:paraId="29756DEE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соларну енергију</w:t>
            </w:r>
          </w:p>
          <w:p w14:paraId="1906F95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енергију ветра</w:t>
            </w:r>
          </w:p>
          <w:p w14:paraId="3B9822B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биомасу</w:t>
            </w:r>
          </w:p>
          <w:p w14:paraId="5678DBD0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биогас (биогас настао у сопственим постројењима – дигесторима, анаеробним поступцима из биомасе и споредних производа животињског порекла који се користе у складу са прописима из области ветеринарства, добијених производњом на пољопривредном газдинству)</w:t>
            </w:r>
          </w:p>
          <w:p w14:paraId="759594C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геотермалну енергију</w:t>
            </w:r>
          </w:p>
          <w:p w14:paraId="06796472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Системи даљинског грејања;</w:t>
            </w:r>
          </w:p>
        </w:tc>
      </w:tr>
      <w:tr w:rsidR="000969CD" w:rsidRPr="00CE0BF8" w14:paraId="238A1139" w14:textId="77777777" w:rsidTr="00CE0BF8">
        <w:trPr>
          <w:trHeight w:val="90"/>
          <w:tblCellSpacing w:w="0" w:type="auto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A7F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7.1.3.2. Опрема за постројење за производњу енергије из обновљивих извора, и то:</w:t>
            </w:r>
          </w:p>
          <w:p w14:paraId="45F286AC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соларну енергију</w:t>
            </w:r>
          </w:p>
          <w:p w14:paraId="04255AD7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енергију ветра</w:t>
            </w:r>
          </w:p>
          <w:p w14:paraId="281AA23B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биомасу</w:t>
            </w:r>
          </w:p>
          <w:p w14:paraId="20CE66C9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на биогас (биогас настао у сопственим постројењима – дигесторима, анаеробним поступцима из биомасе и споредних производа животињског порекла који се користе у складу са прописима из области ветеринарства, добијених производњом на пољопривредном газдинству)</w:t>
            </w:r>
          </w:p>
          <w:p w14:paraId="2949ED1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Постројење за геотермалну енергију</w:t>
            </w:r>
          </w:p>
          <w:p w14:paraId="14192416" w14:textId="77777777" w:rsidR="000969CD" w:rsidRPr="00CE0BF8" w:rsidRDefault="00743B0F">
            <w:pPr>
              <w:spacing w:after="150"/>
              <w:rPr>
                <w:rFonts w:ascii="Times New Roman" w:hAnsi="Times New Roman" w:cs="Times New Roman"/>
              </w:rPr>
            </w:pPr>
            <w:r w:rsidRPr="00CE0BF8">
              <w:rPr>
                <w:rFonts w:ascii="Times New Roman" w:hAnsi="Times New Roman" w:cs="Times New Roman"/>
                <w:color w:val="000000"/>
              </w:rPr>
              <w:t>– Топлотне пумпе.</w:t>
            </w:r>
          </w:p>
        </w:tc>
      </w:tr>
    </w:tbl>
    <w:bookmarkEnd w:id="2"/>
    <w:p w14:paraId="02C3782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(*)  Укупан капацитет категорисаног угоститељског објекта не прелази 30 индивидуалних лежајева по кориснику, при чему укупан број индивидуалних лежајева у свим категорисаним угоститељским објектима које има корисник на територији Републике Србије, није већи од 30. Кревети величине за две особе рачунају се као два индивидуална лежаја, у складу са законом којим се уређује туризам и угоститељство.</w:t>
      </w:r>
    </w:p>
    <w:p w14:paraId="1FE50560" w14:textId="77777777" w:rsidR="000969CD" w:rsidRPr="00CE0BF8" w:rsidRDefault="00743B0F">
      <w:pPr>
        <w:spacing w:after="150"/>
        <w:jc w:val="right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Прилог 7</w:t>
      </w:r>
    </w:p>
    <w:p w14:paraId="300BF6DD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ОБЕЛЕЖАВАЊЕ ПРЕДМЕТА ИНВЕСТИЦИЈЕ</w:t>
      </w:r>
    </w:p>
    <w:p w14:paraId="560A559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Обележавање предмета инвестиције је обавеза корисника у информисању јавности о улози Европске уније у спровођењу ИПАРД II програма, али и позитивној промоцији доприноса Европске уније и националних фондова за рурални развој у Републици Србији. Свe инвестиције које су суфинансиране из ИПАРД II програма треба да садрже информацију о улози Европске уније тј. ИПАРД II програма у суфинансирању инвестиције.</w:t>
      </w:r>
    </w:p>
    <w:p w14:paraId="6582BC3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Поступак обележавања инвестиције дефинисан је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(ИПАРД) и Уредбом о спровођењу Европске комисије (ЕУ) 821/2014. Упутства за кориснике везана за мере информисања и видљивости пројеката суфинансираних из ИПАРД II програма, заснована су на приручнику „Захтеви по питању комуникације и видљивости у спољним активностима Европске уније” из 2018. године, Уредби (ЕУ) број 236/2014 Европског парламента и Савета од 11. марта 2014. о утврђивању заједничких правила и поступака за спровођење инструмената Европске уније за финансирање спољних активности, као и Смерницама Европске комисије о одговорности ИПАРД корисника које се тичу информација и комуникације према јавности.</w:t>
      </w:r>
    </w:p>
    <w:p w14:paraId="637AE6C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Добијањем решења о одобравању пројекта, корисник прихвата да информације о њему као носиоцу пројекта, називу пројекта, као и износу јавне подршке буду јавно објављене.</w:t>
      </w:r>
    </w:p>
    <w:p w14:paraId="7CF3B8CD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Обавезe корисника о информисању јавности о подршци ЕК из ИПАРД II програма</w:t>
      </w:r>
    </w:p>
    <w:p w14:paraId="2D059B3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Током и након реализације инвестиције, корисник има обавезу информисања јавности о захтеваној, односно добијеној подршци из ИПАРД II програма.</w:t>
      </w:r>
    </w:p>
    <w:p w14:paraId="4B215C4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Све активности информисања и комуникације у вези са пројектом морају укључивати основне елементе видљивости, односно:</w:t>
      </w:r>
    </w:p>
    <w:p w14:paraId="59DE304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логотип ЕУ за ИПАРД II програм (у даљем тексту: ИПАРД логотип);</w:t>
      </w:r>
    </w:p>
    <w:p w14:paraId="3BEF639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државно обележје Републике Србије;</w:t>
      </w:r>
    </w:p>
    <w:p w14:paraId="69CBA5F6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напомену: „Овај пројекат је реализован уз финансијску подршку Европске уније” за стално oбележавање или „Овај пројекат се реализује уз финансијску подршку Европске уније” за привремено oбележавање;</w:t>
      </w:r>
    </w:p>
    <w:p w14:paraId="44AACAF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назив пројекта/инвестиције.</w:t>
      </w:r>
    </w:p>
    <w:p w14:paraId="67398EE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Обавезe корисника о информисању јавности о подршци из ИПАРД II програма дефинисане су у односу на врсту инвестиције и износ јавне подршке, и то:</w:t>
      </w:r>
    </w:p>
    <w:p w14:paraId="262CACC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1. За сваку инвестицију у инфраструктуру или изградњу објекта за коју укупна јавна подршка прелази 100.000 евра, на почетку извођења грађевинских радова и током реализације инвестиције, осим обележавања градилишта одговарајућим билбордом у складу са законом </w:t>
      </w:r>
      <w:r w:rsidRPr="00CE0BF8">
        <w:rPr>
          <w:rFonts w:ascii="Times New Roman" w:hAnsi="Times New Roman" w:cs="Times New Roman"/>
          <w:color w:val="000000"/>
        </w:rPr>
        <w:lastRenderedPageBreak/>
        <w:t>којим се уређује планирање и изградња, корисник ће поставити привремени билборд минималне величине А3 формата на месту лако видљивом за јавност, као што је, на пример, улаз у објекат или прилазни пут.</w:t>
      </w:r>
    </w:p>
    <w:p w14:paraId="1AEC4AB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Привремени билборд мора да садржи основне елементе видљивости, који треба да заузимају најмање 25% површине, док је преостали део билборда (75%) намењен опису пројекта и минимално треба да садржи следеће елементе:</w:t>
      </w:r>
    </w:p>
    <w:p w14:paraId="75FB502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назив корисника;</w:t>
      </w:r>
    </w:p>
    <w:p w14:paraId="453FDEA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вредност пројекта;</w:t>
      </w:r>
    </w:p>
    <w:p w14:paraId="3E4DCD3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износ суфинансирања од стране Европске уније, изражен у динарима наведен у Решењу о одобравању пројекта. Износ суфинансирања Европске уније може да се допуни и информацијом о износу финансијске подршке Републике Србије и доприносу самог корисника;</w:t>
      </w:r>
    </w:p>
    <w:p w14:paraId="49C780D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период спровођења пројекта (од–до).</w:t>
      </w:r>
    </w:p>
    <w:p w14:paraId="05A59BB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Привремени билборд остаје на месту улагања до добијања решења о исплати ИПАРД подстицаја.</w:t>
      </w:r>
    </w:p>
    <w:p w14:paraId="3D542B8D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3" w:name="_idContainer000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4EDF3D7D" wp14:editId="6546D613">
            <wp:extent cx="3237255" cy="205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20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61179929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</w:t>
      </w:r>
      <w:r w:rsidRPr="00CE0BF8">
        <w:rPr>
          <w:rFonts w:ascii="Times New Roman" w:hAnsi="Times New Roman" w:cs="Times New Roman"/>
          <w:color w:val="000000"/>
        </w:rPr>
        <w:t xml:space="preserve"> </w:t>
      </w:r>
      <w:r w:rsidRPr="00CE0BF8">
        <w:rPr>
          <w:rFonts w:ascii="Times New Roman" w:hAnsi="Times New Roman" w:cs="Times New Roman"/>
          <w:b/>
          <w:color w:val="000000"/>
        </w:rPr>
        <w:t>1 – Привремени билборд/табла/постер</w:t>
      </w:r>
    </w:p>
    <w:p w14:paraId="615BAB0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1а) Након добијања решења о исплати ИПАРД подстицаја, корисник је у обавези да постави стални билборд минималне величине А3 формата, израђен од трајног материјала, на месту лако видљивом за јавност, као што је, на пример, улаз у објекат или прилазни пут.</w:t>
      </w:r>
    </w:p>
    <w:p w14:paraId="14BD5CC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Стални билборд садржи основне елементе видљивости, који треба да заузимају најмање 25% билборда уз напомену која јасно истиче износ подршке добијене из ИПАРД II програма Европске уније: „Овај пројекат је реализован уз финансијску подршку Европске уније од ___ динара”.</w:t>
      </w:r>
    </w:p>
    <w:p w14:paraId="3F9BFB7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Преостали део сталног билборда (75%) намењен је опису пројекта и може да садржи и главни циљ пројекта, информацију о износу финансијске подршке Републике Србије и доприносу самог корисника и друге сличне информације.</w:t>
      </w:r>
    </w:p>
    <w:p w14:paraId="5E0B6D5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Уколико је истом кориснику суфинансирано неколико различитих инвестиција наведених у оквиру истог захтева, стални билборд треба да садржи назив свих инвестиција.</w:t>
      </w:r>
    </w:p>
    <w:p w14:paraId="776E32F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Стални билборд треба да остане на месту инвестиције наредних пет (5) година од дана исплате ИПАРД подстицаја.</w:t>
      </w:r>
    </w:p>
    <w:p w14:paraId="59A511F4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4" w:name="_idContainer001"/>
      <w:r w:rsidRPr="00CE0B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98F85CB" wp14:editId="0289B08B">
            <wp:extent cx="3272678" cy="1885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030" cy="1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CAEA5B8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 2 – Стални билборд/табла/постер</w:t>
      </w:r>
    </w:p>
    <w:p w14:paraId="431842C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2. За сваку инвестицију у инфраструктуру или изградњу објекта за коју укупна јавна подршка прелази 20.000 евра од тренутка започињања извођења физичких радова на пројекту корисник је у обавези да постави привремену таблу минималне величине А3 формата на месту лако видљивом за јавност, као што је, на пример, улаз у објекат.</w:t>
      </w:r>
    </w:p>
    <w:p w14:paraId="14C6E2A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Привремена табла, направљена од трајног материјала (пластика, метал и сл.), треба да буде израђена у складу са тачком 1 овог прилога.</w:t>
      </w:r>
    </w:p>
    <w:p w14:paraId="2CF2CF8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Привремена табла треба да остане на месту инвестиције до дана коначне исплате ИПАРД подстицаја.</w:t>
      </w:r>
    </w:p>
    <w:p w14:paraId="7A104F3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2 а) Након коначне исплате ИПАРД подстицаја, корисник је у обавези да постави сталну таблу минималне величине А3 формата, израђену у складу са тачком 1а овог прилога од трајног материјала (пластика, метал и сл.), на месту лако видљивом за јавност, као што је, на пример, улаз у објекат.</w:t>
      </w:r>
    </w:p>
    <w:p w14:paraId="5EBC2E1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Стална табла треба да остане на месту инвестиције наредних пет (5) година од дана исплате ИПАРД подстицаја.</w:t>
      </w:r>
    </w:p>
    <w:p w14:paraId="7441609A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5" w:name="_idContainer002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7CBC9354" wp14:editId="696CE849">
            <wp:extent cx="3237255" cy="1847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84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0B23E6E4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 2а – Стални билборд/табла/постер</w:t>
      </w:r>
    </w:p>
    <w:p w14:paraId="7B5D5E8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3. За сваку инвестицију у инфраструктуру или изградњу објекта за коју укупна јавна подршка не прелази 20.000 евра од тренутка започињања извођења физичких радова на пројекту корисник је у обавези да постави постер минималне величине А3 формата на месту лако видљивом за јавност, као што је, на пример, улаз у објекат.</w:t>
      </w:r>
    </w:p>
    <w:p w14:paraId="47FFD5C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lastRenderedPageBreak/>
        <w:t>Постер мора да садржи основне елементе видљивости, који треба да заузимају најмање 25% површине, док је преостали део постера (75%) намењен опису пројекта и минимално треба да садржи следеће елементе:</w:t>
      </w:r>
    </w:p>
    <w:p w14:paraId="3CBA106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назив корисника,</w:t>
      </w:r>
    </w:p>
    <w:p w14:paraId="4913638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вредност пројекта,</w:t>
      </w:r>
    </w:p>
    <w:p w14:paraId="07DF244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износ суфинансирања од стране Европске уније, изражен у динарима наведен у Решењу о одобравању пројекта. Износ суфинансирања Европске уније може да се допуни и информацијом о износу финансијске подршке Републике Србије и доприносу самог корисника,</w:t>
      </w:r>
    </w:p>
    <w:p w14:paraId="167F0AD7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– период спровођења пројекта (од–до).</w:t>
      </w:r>
    </w:p>
    <w:p w14:paraId="22CF8E2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Постер треба да остане на месту инвестиције до дана коначне исплате ИПАРД подстицаја.</w:t>
      </w:r>
    </w:p>
    <w:p w14:paraId="0F8E5DC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3а) Након коначне исплате ИПАРД подстицаја, корисник је у обавези да постави сталну таблу минималне величине А3 формата, израђену у складу са тачком 1а) овог прилога од трајног материјала (пластика, метал и сл.), на месту лако видљивом за јавност, као што је, на пример, улаз у објекат.</w:t>
      </w:r>
    </w:p>
    <w:p w14:paraId="63B006F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Стална табла треба да остане на месту инвестиције наредних пет (5) година од дана исплате ИПАРД подстицаја.</w:t>
      </w:r>
    </w:p>
    <w:p w14:paraId="7308E92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4. За сваку инвестицију у опремање објекта за коју укупна јавна подршка прелази 100.000 евра, непосредно након испоруке опреме корисник поставља сталну таблу/билборд, израђену у складу са тачком 1а) овог прилога од трајног материјала (пластика, метал и сл.), на месту лако видљивом за јавност (на пример, на улазу у објекат или на прилазном путу).</w:t>
      </w:r>
    </w:p>
    <w:p w14:paraId="37E4934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Стална табла/билборд треба да остане на месту инвестиције наредних пет (5) година од дана исплате ИПАРД подстицаја.</w:t>
      </w:r>
    </w:p>
    <w:p w14:paraId="56F38B4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5. Сву опрему, возила, машине и механизацију, која се суфинансира из ИПАРД II програма, непосредно по испоруци корисник ИПАРД подстицаја треба јасно да обележи налепницама довољне величине које су у складу са величином предметне инвестиције (препоручена величина је 8 x 15 cm), израђеним од ПВЦ материјала са УВ заштитом високог сјаја. Налепница треба да буде јасно видљива, постављена на предњој или бочној страни опреме, возила, машина или механизације.</w:t>
      </w:r>
    </w:p>
    <w:p w14:paraId="5832CCE7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Налепница мора да садржи основне елементе видљивости, који треба да заузимају најмање 25% налепнице уз напомену која јасно истиче износ подршке добијене из ИПАРД II програма Европске уније: „Овај пројекат је реализован уз финансијску подршку Европске уније од ___ динара”.</w:t>
      </w:r>
    </w:p>
    <w:p w14:paraId="2FEB96E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Преостали део налепнице (75%) намењен је опису пројекта и може да садржи и главни циљ пројекта, информацију о износу финансијске подршке Републике Србије и доприносу самог корисника и друге сличне информације.</w:t>
      </w:r>
    </w:p>
    <w:p w14:paraId="7C0905B7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Возила, машине и механизацију треба обележити налепницом наредних пет (5) година од дана исплате ИПАРД подстицаја.</w:t>
      </w:r>
    </w:p>
    <w:p w14:paraId="012D299B" w14:textId="77777777" w:rsidR="000969CD" w:rsidRPr="00CE0BF8" w:rsidRDefault="00743B0F" w:rsidP="00CE0BF8">
      <w:pPr>
        <w:jc w:val="center"/>
        <w:rPr>
          <w:rFonts w:ascii="Times New Roman" w:hAnsi="Times New Roman" w:cs="Times New Roman"/>
        </w:rPr>
      </w:pPr>
      <w:bookmarkStart w:id="6" w:name="_idContainer003"/>
      <w:r w:rsidRPr="00CE0B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183295" wp14:editId="45592D7C">
            <wp:extent cx="3237255" cy="1694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6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3CA1D6FB" w14:textId="77777777" w:rsidR="000969CD" w:rsidRPr="00CE0BF8" w:rsidRDefault="00743B0F">
      <w:pPr>
        <w:spacing w:after="150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t>Пример 3 – Налепница</w:t>
      </w:r>
    </w:p>
    <w:p w14:paraId="27C13374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Билборди, табле, постери и налепнице не смеју да буду оштећени, односно, уколико дође до оштећења треба да буду замењени.</w:t>
      </w:r>
    </w:p>
    <w:p w14:paraId="39DFA70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Корисник ИПАРД подстицаја треба да се придржава прописаних обавеза обележавања. Испуњавање ових обавеза проверава УАП контролама на лицу места пре исплате ИПАРД подстицаја и контролама након исплате ИПАРД подстицаја.</w:t>
      </w:r>
    </w:p>
    <w:p w14:paraId="5417B91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Осим обавештавања јавности на начин наведен у тач. 1–5. овог прилога, корисник је у обавези да обавештава јавност о подршци добијеној из ИПАРД фонда Европске уније и на следеће начине:</w:t>
      </w:r>
    </w:p>
    <w:p w14:paraId="2D24A9B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а. Уколико корисник подстицаја има свој сајт, на почетној страници сајта на видљивом месту и на површини од најмање 25%, треба да постави кратак опис пројекта/инвестиције са основим елементима видљивости. Поред овога, преостали део почетне странице сајта може да садржи и главни циљ пројекта, информацију о износу финансијске подршке, као и друге сличне информације, укључујући период спровођења пројекта (од–до), контакт особе за више информација, као и везе ка релевантним интернет страницама.</w:t>
      </w:r>
    </w:p>
    <w:p w14:paraId="729046D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Основни елементи видљивости морају бити позиционирани у оквиру поља приказа дигиталног уређаја без потребе померања прозора.</w:t>
      </w:r>
    </w:p>
    <w:p w14:paraId="23FBADFC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б. Сваки документ, који се односи на пројекат/инвестицију и који се користи за јавност, укључујући сваку листу учесника или другу врсту потврде, треба да садржи основне елементе видљивости у заглављу документа.</w:t>
      </w:r>
    </w:p>
    <w:p w14:paraId="094E4F6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в. Свака публикација која се односи на пројекат/инвестицију, укључујући летке, брошуре, новинске чланке и сл., мора да садржи основне елементе видљивости.</w:t>
      </w:r>
    </w:p>
    <w:p w14:paraId="1C49C8E3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г. Промотивни материјал (USB, CD, оловка, мајица и сл.), који се односи на пројекат/инвестицију, треба да садржи ИПАРД логотип, а не мора да садржи друге основне елементе видљивости.</w:t>
      </w:r>
    </w:p>
    <w:p w14:paraId="55AC807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Сваки документ, публикација, аудио и видео садржај, промотивни материјал, сајт и сл. који је повезан са пројектом/инвестицијом, мора да садржи изјаву о одрицању од одговорности Европске уније, на пример: „Овај материјал је реализован уз финансијску подршку Европске уније. За његов садржај искључиво је одговоран носилац пројекта (назив корисника).”.</w:t>
      </w:r>
    </w:p>
    <w:p w14:paraId="55C8FA18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Садржај материјала намењен информисању и комуникацији у вези са пројектом треба да буде на српском језику. По жељи корисника, материјал или поједини елементи видљивости могу бити креирани на српском и енглеском језику.</w:t>
      </w:r>
    </w:p>
    <w:p w14:paraId="1A2F52A6" w14:textId="77777777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lastRenderedPageBreak/>
        <w:t>ИПАРД логотип</w:t>
      </w:r>
    </w:p>
    <w:p w14:paraId="24825B4F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употребљава се у складу са техничким карактеристикама наведеним у релевантном акту Европске уније, и то тако да је увек јасно видљив и на истакнутом месту.</w:t>
      </w:r>
    </w:p>
    <w:p w14:paraId="37F5B79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Место и величина ИПАРД логотипа примерени су величини предметног материјала или документа, при чему на сваком материјалу на ком је то могуће – ИПАРД логотип треба да буде најмање 1 cm висине. Ако су уз ИПАРД логотип приказани и други логотипи или обележја, ИПАРД логотип мора бити барем једнаке величине, односно висине или ширине, као највећи од других логотипа или обележја.</w:t>
      </w:r>
    </w:p>
    <w:p w14:paraId="68913083" w14:textId="77777777" w:rsidR="000969CD" w:rsidRPr="00CE0BF8" w:rsidRDefault="00743B0F">
      <w:pPr>
        <w:rPr>
          <w:rFonts w:ascii="Times New Roman" w:hAnsi="Times New Roman" w:cs="Times New Roman"/>
        </w:rPr>
      </w:pPr>
      <w:bookmarkStart w:id="7" w:name="_idContainer004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0932C019" wp14:editId="7B002E95">
            <wp:extent cx="3237255" cy="148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p w14:paraId="24FEF9D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се увек када је то могуће налази са десне стране, док се државно обележје Републике Србије поставља са леве стране.</w:t>
      </w:r>
    </w:p>
    <w:p w14:paraId="64C293CD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приказује се искључиво у боји при обележавању предмета инвестиције. У свим осталим медијима, као и на интернет страницама, ИПАРД логотип се приказује у боји кад год је то могуће, а црно-бела верзија се може употребити само у оправданим случајевима (када је целокупни материјал у црно-белој верзији). Уколико се употребљава црно-бели приказ ИПАРД логотипа, ИПАРД логотип се приказује у црној боји са белим звездама.</w:t>
      </w:r>
    </w:p>
    <w:p w14:paraId="17AD0740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приказује се увек на белој подлози, а уколико се приказује на подлози у боји, треба да буде оивичен белим оквиром чија ширина мора бити најмање једнака 1/25 висине ИПАРД логотипа.</w:t>
      </w:r>
    </w:p>
    <w:p w14:paraId="63FBEBA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Прописане боје ИПАРД логотипа су следеће:</w:t>
      </w:r>
    </w:p>
    <w:p w14:paraId="528D4C59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Pantone: PANTONE REFLEX BLUE</w:t>
      </w:r>
      <w:r w:rsidRPr="00CE0BF8">
        <w:rPr>
          <w:rFonts w:ascii="Times New Roman" w:hAnsi="Times New Roman" w:cs="Times New Roman"/>
          <w:color w:val="000000"/>
        </w:rPr>
        <w:t xml:space="preserve"> и P</w:t>
      </w:r>
      <w:r w:rsidRPr="00CE0BF8">
        <w:rPr>
          <w:rFonts w:ascii="Times New Roman" w:hAnsi="Times New Roman" w:cs="Times New Roman"/>
          <w:i/>
          <w:color w:val="000000"/>
        </w:rPr>
        <w:t>ANTONE YELLOW</w:t>
      </w:r>
      <w:r w:rsidRPr="00CE0BF8">
        <w:rPr>
          <w:rFonts w:ascii="Times New Roman" w:hAnsi="Times New Roman" w:cs="Times New Roman"/>
          <w:color w:val="000000"/>
        </w:rPr>
        <w:t>,</w:t>
      </w:r>
    </w:p>
    <w:p w14:paraId="11B6DFE1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CMYK:</w:t>
      </w:r>
      <w:r w:rsidRPr="00CE0BF8">
        <w:rPr>
          <w:rFonts w:ascii="Times New Roman" w:hAnsi="Times New Roman" w:cs="Times New Roman"/>
          <w:color w:val="000000"/>
        </w:rPr>
        <w:t xml:space="preserve"> плава C100-M80-Y0-K0/жута C0-M0-Y100-K0,</w:t>
      </w:r>
    </w:p>
    <w:p w14:paraId="2FB783A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RGB:</w:t>
      </w:r>
      <w:r w:rsidRPr="00CE0BF8">
        <w:rPr>
          <w:rFonts w:ascii="Times New Roman" w:hAnsi="Times New Roman" w:cs="Times New Roman"/>
          <w:color w:val="000000"/>
        </w:rPr>
        <w:t xml:space="preserve"> плава R0-G51-B153/жута R255-G204-B0.</w:t>
      </w:r>
    </w:p>
    <w:p w14:paraId="2E4220A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Фонтови који се могу употребити уз ИПАРД логотип јесу следећи: </w:t>
      </w:r>
      <w:r w:rsidRPr="00CE0BF8">
        <w:rPr>
          <w:rFonts w:ascii="Times New Roman" w:hAnsi="Times New Roman" w:cs="Times New Roman"/>
          <w:i/>
          <w:color w:val="000000"/>
        </w:rPr>
        <w:t>Arial, Calibri, Garamond, Trebuchet, Tahoma</w:t>
      </w:r>
      <w:r w:rsidRPr="00CE0BF8">
        <w:rPr>
          <w:rFonts w:ascii="Times New Roman" w:hAnsi="Times New Roman" w:cs="Times New Roman"/>
          <w:color w:val="000000"/>
        </w:rPr>
        <w:t xml:space="preserve"> и </w:t>
      </w:r>
      <w:r w:rsidRPr="00CE0BF8">
        <w:rPr>
          <w:rFonts w:ascii="Times New Roman" w:hAnsi="Times New Roman" w:cs="Times New Roman"/>
          <w:i/>
          <w:color w:val="000000"/>
        </w:rPr>
        <w:t>Verdana.</w:t>
      </w:r>
      <w:r w:rsidRPr="00CE0BF8">
        <w:rPr>
          <w:rFonts w:ascii="Times New Roman" w:hAnsi="Times New Roman" w:cs="Times New Roman"/>
          <w:color w:val="000000"/>
        </w:rPr>
        <w:t xml:space="preserve"> Курзив, подвучени текст и ефекти се не употребљавају. Положај текста у односу на ИПАРД логотип не сме ни на који начин ометати ИПАРД логотип. Величина фонта сразмерна је величини ИПАРД логотипа. Боја фонта је плава (</w:t>
      </w:r>
      <w:r w:rsidRPr="00CE0BF8">
        <w:rPr>
          <w:rFonts w:ascii="Times New Roman" w:hAnsi="Times New Roman" w:cs="Times New Roman"/>
          <w:i/>
          <w:color w:val="000000"/>
        </w:rPr>
        <w:t>Reflex blue</w:t>
      </w:r>
      <w:r w:rsidRPr="00CE0BF8">
        <w:rPr>
          <w:rFonts w:ascii="Times New Roman" w:hAnsi="Times New Roman" w:cs="Times New Roman"/>
          <w:color w:val="000000"/>
        </w:rPr>
        <w:t>), црна или бела, у зависности од боје позадине.</w:t>
      </w:r>
    </w:p>
    <w:p w14:paraId="39EBFDC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ИПАРД логотип се може преузети са следећег линка: http://uap.gov.rs/wp-content/uploads/2019/11/logo-ipard-vector-final.pdf</w:t>
      </w:r>
    </w:p>
    <w:p w14:paraId="6738A8D3" w14:textId="77777777" w:rsidR="00CE0BF8" w:rsidRDefault="00CE0BF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2D73F4AB" w14:textId="774683BC" w:rsidR="000969CD" w:rsidRPr="00CE0BF8" w:rsidRDefault="00743B0F">
      <w:pPr>
        <w:spacing w:after="120"/>
        <w:jc w:val="center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b/>
          <w:color w:val="000000"/>
        </w:rPr>
        <w:lastRenderedPageBreak/>
        <w:t>Државна обележја Републике Србије</w:t>
      </w:r>
    </w:p>
    <w:p w14:paraId="547E0622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Државна обележја Републике Србије која се користе за обележавање инвестиције су Државна застава и Мали Грб, и употребљавају се у складу са законом којим се уређује изглед и употреба грба, заставе и химне Републике Србије.</w:t>
      </w:r>
    </w:p>
    <w:p w14:paraId="01BE212B" w14:textId="77777777" w:rsidR="000969CD" w:rsidRPr="00CE0BF8" w:rsidRDefault="00743B0F">
      <w:pPr>
        <w:rPr>
          <w:rFonts w:ascii="Times New Roman" w:hAnsi="Times New Roman" w:cs="Times New Roman"/>
        </w:rPr>
      </w:pPr>
      <w:bookmarkStart w:id="8" w:name="_idContainer005"/>
      <w:r w:rsidRPr="00CE0BF8">
        <w:rPr>
          <w:rFonts w:ascii="Times New Roman" w:hAnsi="Times New Roman" w:cs="Times New Roman"/>
          <w:noProof/>
        </w:rPr>
        <w:drawing>
          <wp:inline distT="0" distB="0" distL="0" distR="0" wp14:anchorId="5108107A" wp14:editId="3D6CE605">
            <wp:extent cx="3237255" cy="676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67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p w14:paraId="760B27C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Прописане боје државних обележја Републике Србије су следеће:</w:t>
      </w:r>
    </w:p>
    <w:p w14:paraId="250260EE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Pantone:</w:t>
      </w:r>
      <w:r w:rsidRPr="00CE0BF8">
        <w:rPr>
          <w:rFonts w:ascii="Times New Roman" w:hAnsi="Times New Roman" w:cs="Times New Roman"/>
          <w:color w:val="000000"/>
        </w:rPr>
        <w:t xml:space="preserve"> црвена 192C/плава 280C/жута 123C,</w:t>
      </w:r>
    </w:p>
    <w:p w14:paraId="674D4E45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CMYK:</w:t>
      </w:r>
      <w:r w:rsidRPr="00CE0BF8">
        <w:rPr>
          <w:rFonts w:ascii="Times New Roman" w:hAnsi="Times New Roman" w:cs="Times New Roman"/>
          <w:color w:val="000000"/>
        </w:rPr>
        <w:t xml:space="preserve"> црвена C0-M90-Y70-K10/плава C100-M72-Y0-K19/жута C4-M24-Y95-K0/црна K100,</w:t>
      </w:r>
    </w:p>
    <w:p w14:paraId="1BC095AB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 xml:space="preserve">– у систему </w:t>
      </w:r>
      <w:r w:rsidRPr="00CE0BF8">
        <w:rPr>
          <w:rFonts w:ascii="Times New Roman" w:hAnsi="Times New Roman" w:cs="Times New Roman"/>
          <w:i/>
          <w:color w:val="000000"/>
        </w:rPr>
        <w:t>RGB:</w:t>
      </w:r>
      <w:r w:rsidRPr="00CE0BF8">
        <w:rPr>
          <w:rFonts w:ascii="Times New Roman" w:hAnsi="Times New Roman" w:cs="Times New Roman"/>
          <w:color w:val="000000"/>
        </w:rPr>
        <w:t xml:space="preserve"> црвена R198-G54-B60/плава R12-G64-B118/жута R237-G185-B46/црна R33-G35-B30.</w:t>
      </w:r>
    </w:p>
    <w:p w14:paraId="463A8A7A" w14:textId="77777777" w:rsidR="000969CD" w:rsidRPr="00CE0BF8" w:rsidRDefault="00743B0F" w:rsidP="00CE0BF8">
      <w:pPr>
        <w:spacing w:after="150"/>
        <w:jc w:val="both"/>
        <w:rPr>
          <w:rFonts w:ascii="Times New Roman" w:hAnsi="Times New Roman" w:cs="Times New Roman"/>
        </w:rPr>
      </w:pPr>
      <w:r w:rsidRPr="00CE0BF8">
        <w:rPr>
          <w:rFonts w:ascii="Times New Roman" w:hAnsi="Times New Roman" w:cs="Times New Roman"/>
          <w:color w:val="000000"/>
        </w:rPr>
        <w:t>Државна застава и Мали грб Републике Србије могу се преузети са следећег линка: http://www.media.srbija.gov.rs/medsrp/slike/grbovi_zastave_standarte_srbije.zip</w:t>
      </w:r>
    </w:p>
    <w:p w14:paraId="03B19C38" w14:textId="77777777" w:rsidR="00CE0BF8" w:rsidRPr="00CE0BF8" w:rsidRDefault="00CE0BF8">
      <w:pPr>
        <w:spacing w:after="150"/>
        <w:rPr>
          <w:rFonts w:ascii="Times New Roman" w:hAnsi="Times New Roman" w:cs="Times New Roman"/>
        </w:rPr>
      </w:pPr>
    </w:p>
    <w:sectPr w:rsidR="00CE0BF8" w:rsidRPr="00CE0B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D"/>
    <w:rsid w:val="000969CD"/>
    <w:rsid w:val="002E69C1"/>
    <w:rsid w:val="00743B0F"/>
    <w:rsid w:val="0091227F"/>
    <w:rsid w:val="00C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1C7"/>
  <w15:docId w15:val="{27E095FA-002F-4A0D-9ABE-625D0D0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C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cp:lastPrinted>2021-09-14T07:47:00Z</cp:lastPrinted>
  <dcterms:created xsi:type="dcterms:W3CDTF">2023-09-13T13:16:00Z</dcterms:created>
  <dcterms:modified xsi:type="dcterms:W3CDTF">2023-09-13T13:16:00Z</dcterms:modified>
</cp:coreProperties>
</file>