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7DF6" w14:textId="77777777" w:rsidR="00C635F9" w:rsidRPr="00515D14" w:rsidRDefault="0072342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 10/13, 142/14, 103/15, 101/16 и 35/23),</w:t>
      </w:r>
    </w:p>
    <w:p w14:paraId="486633D6" w14:textId="77777777" w:rsidR="00C635F9" w:rsidRPr="00515D14" w:rsidRDefault="0072342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13DF810C" w14:textId="77777777" w:rsidR="00C635F9" w:rsidRPr="00515D14" w:rsidRDefault="0072342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006656D8" w14:textId="77777777" w:rsidR="00C635F9" w:rsidRPr="00515D14" w:rsidRDefault="0072342F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физичку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имовину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пољопривредног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газдинства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набавку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нових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машина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опреме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унапређење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примарне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производње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биљних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култура</w:t>
      </w:r>
      <w:proofErr w:type="spellEnd"/>
    </w:p>
    <w:p w14:paraId="711E59C2" w14:textId="77777777" w:rsidR="00674004" w:rsidRPr="00515D14" w:rsidRDefault="00674004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15D1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(Објављено у „Службеном гласнику РС“, број 65/2023 од 04.08.2023. године)</w:t>
      </w:r>
    </w:p>
    <w:p w14:paraId="346657A6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>I. УВОДНЕ ОДРЕДБЕ</w:t>
      </w:r>
    </w:p>
    <w:p w14:paraId="553D3A05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28E7ACEE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прописују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максимални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E1FB81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2A7A63E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Поједини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изрази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употребљени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следећа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значења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582954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>биљне</w:t>
      </w:r>
      <w:proofErr w:type="spellEnd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>културе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житарице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индустријско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крмно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ароматично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лековито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поврће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цвеће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грожђе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шифарником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365821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>машине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машине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механизација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карданским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вратилом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припадајућом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опремом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неопходном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њихову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редовну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употребу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примарној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DFB0F3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>нова</w:t>
      </w:r>
      <w:proofErr w:type="spellEnd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>машина</w:t>
      </w:r>
      <w:proofErr w:type="spellEnd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>опрема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опрема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механизација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употребу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делови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940E48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>повезана</w:t>
      </w:r>
      <w:proofErr w:type="spellEnd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супружници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ванбрачни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партнери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сродници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линији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сродници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побочној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линији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закључно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трећим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степеном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сродства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сродници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тазбини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сродства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усвојилац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усвојеник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извршен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пренос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управљачких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порез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добит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F495E1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>реализација</w:t>
      </w:r>
      <w:proofErr w:type="spellEnd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радњи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везаних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закључење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купопродајног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робу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преузимање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стављање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наменом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26C72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 </w:t>
      </w:r>
      <w:proofErr w:type="spellStart"/>
      <w:r w:rsidRPr="00515D14">
        <w:rPr>
          <w:rFonts w:ascii="Times New Roman" w:hAnsi="Times New Roman" w:cs="Times New Roman"/>
          <w:i/>
          <w:color w:val="000000"/>
          <w:sz w:val="24"/>
          <w:szCs w:val="24"/>
        </w:rPr>
        <w:t>добављач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својство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трговца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трговина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B2B5FA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>II. ВРСТЕ ПОДСТИЦАЈА</w:t>
      </w:r>
    </w:p>
    <w:p w14:paraId="48FC0200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06E58D1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обухватају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62BC6B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примарну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заштићеном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простору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E3218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примарну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грожђа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89E48E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примарну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поврћа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цвећа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ароматичног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лековитог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11CB2A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убирање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грожђа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поврћа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цвећа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ароматичног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лековитог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ABF13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примарну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житарица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индустријског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крмног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516E20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биљака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корова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штеточина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прихрањивање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ђубрење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бербу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примарних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FA7C72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наводњавање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84EB71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одобравају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493992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463288FB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надокнађују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BDD117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порези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порез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додату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0B12E8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царинске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увозне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таксе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накнада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институција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предузећа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E126E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банкарске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провизије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јемства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слично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9F0100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превоза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монтаже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оперативни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F651F6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куповине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B33908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куповине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половне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механизације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9FF2F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допринос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натури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сопствени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6391918" w14:textId="0D304F06" w:rsidR="00C635F9" w:rsidRDefault="0072342F" w:rsidP="00515D1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Табеле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лизинга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цесије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компензације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асигнације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гашење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пребијања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дугова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54441E" w14:textId="68C5E972" w:rsidR="00515D14" w:rsidRDefault="00515D14" w:rsidP="00515D1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99D3F" w14:textId="1F3243C5" w:rsidR="00515D14" w:rsidRDefault="00515D14" w:rsidP="00515D1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E93C9" w14:textId="77777777" w:rsidR="00515D14" w:rsidRPr="00515D14" w:rsidRDefault="00515D14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27847102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>III. УСЛОВИ ЗА ОСТВАРИВАЊЕ ПРАВА НА ПОДСТИЦАЈЕ</w:t>
      </w:r>
    </w:p>
    <w:p w14:paraId="1EF0118D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7ADE0E0F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3CE4C5D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комерцијалног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544974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92AD6D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привредно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13F09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земљорадничка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задруга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E026B7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средња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DE25394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научноистраживачка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EAD4563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манастир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црква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4B9ABD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77C3236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активном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9EE44F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A9885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3)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извршило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текућу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обнова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пасиван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E10D3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привредно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земљорадничка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задруга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. 2)–4)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C497A7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уписани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AFA9CA4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Агенцији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57F12F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изречена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правоснажна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судска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CC54FE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осуђивани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преступа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E5619A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регистрован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ликвидације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стечаја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престао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судске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обавезујућом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снагом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DE15CE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Привредно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земљорадничка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задруга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8F756E7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разврстани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средње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рачуноводство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CDB84D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велика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2460C1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Земљорадничка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задруга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задруге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уписани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носиоци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комерцијалних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породичних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активном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A08C7A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Средња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5)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39FF4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мрежи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035AA1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верификацији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образовни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профил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прераде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B8946E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Научноистраживачка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6)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22ED70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научноистраживачких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научноистраживачка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FBEBB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научноистраживачка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8E48B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Манастир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црква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7)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уписани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цркава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верских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заједница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цркве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верске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заједнице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882C4E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4A18A366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414BA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евидентираних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доспелих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неизмирених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дуговања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остварених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субвенција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005070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измирило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доспеле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1A9B74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кредитна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регистрованим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CA5E8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реализовало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текуће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99FD8B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једнака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65.000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A0B1C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појединачног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једнак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већи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50.000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рачуну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сваку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појединачну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Табеле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једнак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већи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50.000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D14244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E7E0CD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редоследу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расположива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опредељена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укупних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расподељених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намену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A7F7DC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39DC6F2A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одговарајућу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8A17998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одговарајућих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површине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C2A62B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0,5 ha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поврћа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цвећа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заштићеном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простору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76D9351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 ha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јагодастог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5 ha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осталог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1B9602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5 ha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грожђа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AA3D7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3 ha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поврћа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отвореном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2105BA48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0,1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50 ha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цвећа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отвореном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73C815C6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50 ha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ароматичног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лековитог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DF840EB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50 ha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житарица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индустријског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крмног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DF581B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везан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43CA63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парцеле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Виноградарски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вино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B83C37" w14:textId="55588133" w:rsidR="00C635F9" w:rsidRDefault="0072342F" w:rsidP="00515D1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(7)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наводњавање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7)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житарица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индустријског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крмног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површине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100 ha.</w:t>
      </w:r>
    </w:p>
    <w:p w14:paraId="3F61730B" w14:textId="18874DF5" w:rsidR="00515D14" w:rsidRDefault="00515D14" w:rsidP="00515D1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66521" w14:textId="6B227482" w:rsidR="00515D14" w:rsidRDefault="00515D14" w:rsidP="00515D1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C910B" w14:textId="5FB52989" w:rsidR="00515D14" w:rsidRDefault="00515D14" w:rsidP="00515D1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07651B" w14:textId="77777777" w:rsidR="00515D14" w:rsidRPr="00515D14" w:rsidRDefault="00515D14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6BEAD462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>IV. НАЧИН ОСТВАРИВАЊА ПРАВА НА ПОДСТИЦАЈЕ</w:t>
      </w:r>
    </w:p>
    <w:p w14:paraId="2AE29B9B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52784147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огласној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табли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6D34EE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о: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947D20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расписати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913FB1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обухватити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4547F0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54E5857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испуњаваопште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започиње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избором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попуњавањем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одговарајућег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online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регистрованом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шемом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3E512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стaва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BBB847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прибави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9972B4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изјави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D2475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потребним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треће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породице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могућ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пристанка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07E0C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поједину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одговорно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изјаве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47C62D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изјаве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упознат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одредбом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103.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општем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. 18/16, 95/18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аутентично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тумачење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2/23 – УС),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изричито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изјави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сматрати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неуредним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прибави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одлучивања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наменском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рачуну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</w:p>
    <w:p w14:paraId="698AA4E8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изјаве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упознат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одредбом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103.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општем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изричито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изјави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сматрати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неуредним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E53C2A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41CF9B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C63790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категорија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54E6961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C2D6E74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(ЈМБГ),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(МБ),</w:t>
      </w:r>
    </w:p>
    <w:p w14:paraId="65F3252A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општина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пребивалишта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BE5B1F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5E95EA4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пошту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4E0BAD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(БПГ);</w:t>
      </w:r>
    </w:p>
    <w:p w14:paraId="0C6C3D9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појединачном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Табеле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83BD3F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BFFE93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Табеле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3A38A5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3FF535F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серијски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фабрички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машине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механизације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52E3197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8312BA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16539B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пореза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додату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3638E86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(8)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извршено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плаћање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5F863E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кривичном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материјалном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ADD104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евидентираних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доспелих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неизмирених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дуговања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остварених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субвенција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B384DCA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кредитна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регистрованим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A0CEEDD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D345BC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наведени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тачни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истинити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B152FB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склaду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C94CC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чијим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избором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потврђује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извршио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попуњавање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93A08C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1C82F96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прибави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прилаже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7A7608D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Табеле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фактуре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фактурисање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2FE388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отпремница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Табеле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отпремнице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отпремнице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отпремнице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учитана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фактура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фактуре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међународног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товарног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директно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извршио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увоз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3897E0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извршеном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плаћању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271A14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преносу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извода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оверених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42069D4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међународне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трансакције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swift,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оверене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директно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извршио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увоз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A88A788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фискални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исечак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фискалног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фискализација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извршило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плаћање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готовином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8FEB1E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јединствене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царинске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директно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извршио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увоз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</w:p>
    <w:p w14:paraId="073BA828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гарантног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изјаве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саобразности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извршену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механизације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гарантног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изјаве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саобразности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изјаве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опрема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механизација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подлеже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гарантног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изјаве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саобразности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AEBA3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попуњеног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Прилога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задруге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земљорадничка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задруга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2B5003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привредно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земљорадничка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задруга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потврда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A9501E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изречена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правноснажна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судска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A735E40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осуђиван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преступа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6F37E6F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регистрован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ликвидације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стечаја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престао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судске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обавезујућом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снагом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466993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прилаже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64D12F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очитана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биометријска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лична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карта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DDF44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F16AD6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. 1. и 2.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прилаже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језику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истовремено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прилаже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превод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српски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језик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судског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преводиоца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9C772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Дигитализацију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и:</w:t>
      </w:r>
    </w:p>
    <w:p w14:paraId="6394AE3F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саветодавне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лиценцу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саветодаваца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саветодавних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саветодавац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9ED89DE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инспектор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CEE178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AC6794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080E47F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EBDF92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измиреним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доспелим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обавезама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Пореске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EC9BC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измиреним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доспелим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обавезама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214D41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потврду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9D8B48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потврду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покрајинског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пребивалиште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аутономне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покрајине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F52CB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извода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привредно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земљорадничка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задруга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C21193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разврставању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рачуноводство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привредно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земљорадничка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задруга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28EFBF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мрежи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верификацији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образовни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профил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прераде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издатих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министарства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средња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8246D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научноистраживачких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научноистраживачка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научноистраживачка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E4280D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цркава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верских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заједница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манастир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црква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E1704A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Виноградарски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вино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грожђа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9D7A23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02634D7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Учесник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аутентикује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A04D70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аутентикацију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C78ECB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идентитета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општењу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регистрована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различитог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учеснику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додељен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BDC8B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општењу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идентитет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регистроване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шеме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поднеску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регистрована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друкчије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97BC0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користећи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квалификовани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9D7734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</w:p>
    <w:p w14:paraId="1AF2C283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1CCD0A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пројектовање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усклађивање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функционисање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F2F456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повуче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прихватању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затвара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948340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Након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Јединственог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сандучића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7BF95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Учесник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пријављује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Портала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еИД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јединствено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аутентикацију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регистрацију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18E581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Регистрацију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учесник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еИД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eid.gov.rs,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квалификованог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шалтеру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Регистрационог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параметара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активацију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мобилне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апликације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ConsentID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296578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Техничку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поступањем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26A41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726EC8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саветодавац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10D9BA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пребивалишта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7DB274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Ближа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техничка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корисничког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пријави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попуњавања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објављују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огласној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табли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Булевар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краља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84, 11000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веб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презентацији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https://eagrar.gov.rs.</w:t>
      </w:r>
    </w:p>
    <w:p w14:paraId="7033C59C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</w:p>
    <w:p w14:paraId="0D30D7BA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Размена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поднесака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тајне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означени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степеном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тајности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тајност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D0BD5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сервисне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магистрале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квалификоване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доставе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FC39A6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доносе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имаоци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поднесци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3C71FF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изворно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сачињен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папирној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примерак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дигитализован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оверен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EDEB33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ималац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вршити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дигитализацију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потврђивање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истоветности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аката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изворним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сачињеним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издао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64D9C6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Овлашћени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извршило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дигитализацију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потврдило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истоветност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оригиналом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сачињеним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чува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изворни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033708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</w:p>
    <w:p w14:paraId="7B62E6E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извршавања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преузима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установљене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означио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податак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41F4B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преузимање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сервисне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магистрале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прихваћеног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јединствених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шифарника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јединствених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идентификатора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упоредити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корисницима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додељује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Централни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социјалног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осигураника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порески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идентификациони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5578BB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увида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идентитету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датуму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времену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скупу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приступало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056185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. 1−3.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прибављају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обрађују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уступају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7AFF04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16.</w:t>
      </w:r>
    </w:p>
    <w:p w14:paraId="3595EBCF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поднесака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портала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канцеларијско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84363F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евидентира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писарници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21E4C2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Потврда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шаље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одмах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поднесак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послат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обавештење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напредни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печат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51A01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квалификованим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временским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жигом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77ACB6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аутоматски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додељује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предузимају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доносе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297C7D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аутоматски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додељеног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додељивати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бројеве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интерног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998DFF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17.</w:t>
      </w:r>
    </w:p>
    <w:p w14:paraId="78E92728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проверава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попуњен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приложена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уредна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унети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одговарају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901A3A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попуњен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приложена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уредна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унети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одговарају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неуредног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краћи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осам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упозорење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4ADDBD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одбацује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297E1D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D8124D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42DFCE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908E6B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B47BA3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5)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F7E1C0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провером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доспелих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неизмирених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дуговања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остварених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субвенција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неизмирене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доспеле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грожђа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Виноградарски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вино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краћи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осам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измири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дуговања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отклони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недостатке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упозорење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испуни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9C4BCF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административном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провером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утврђено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редоследу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расположива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опредељена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утврђеном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отворен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пријављен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14FB7F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18.</w:t>
      </w:r>
    </w:p>
    <w:p w14:paraId="380112ED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закључак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обавештење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3FD522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E03452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доставе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сноси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доставу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4405C1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сандучић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9DA064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19.</w:t>
      </w:r>
    </w:p>
    <w:p w14:paraId="5D1F1004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отуђи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омогући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механизације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придржава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654AE" w14:textId="6ABE8BB5" w:rsidR="00C635F9" w:rsidRDefault="0072342F" w:rsidP="00515D1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Отуђењем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губитак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својства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наставак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привредна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0282DC" w14:textId="1A62FF2D" w:rsidR="00515D14" w:rsidRDefault="00515D14" w:rsidP="00515D1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41F3D" w14:textId="648F4259" w:rsidR="00515D14" w:rsidRDefault="00515D14" w:rsidP="00515D1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12C58" w14:textId="4D3F07E8" w:rsidR="00515D14" w:rsidRDefault="00515D14" w:rsidP="00515D1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2441" w14:textId="77777777" w:rsidR="00515D14" w:rsidRPr="00515D14" w:rsidRDefault="00515D14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6CDB47E9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V. МАКСИМАЛНИ ИЗНОС ПОДСТИЦАЈА ПО КОРИСНИКУ ПОДСТИЦАЈА И ПО ВРСТИ ПОДСТИЦАЈА</w:t>
      </w:r>
    </w:p>
    <w:p w14:paraId="3362B865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20.</w:t>
      </w:r>
    </w:p>
    <w:p w14:paraId="6D48D32E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утврђују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процентуалном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реализоване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умањене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пореза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додату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неприхватљивих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DA7969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извршио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увоз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реализоване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статистичка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динарима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јединственој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царинској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исправи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70619F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Процентуални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пребивалишта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5DFE9C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Увећање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максималног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пребивалишта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FD6516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Највиши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укупни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календарску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800.000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1BE298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>VI. ПРЕЛАЗНЕ И ЗАВРШНЕ ОДРЕДБЕ</w:t>
      </w:r>
    </w:p>
    <w:p w14:paraId="27D0C6C0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21.</w:t>
      </w:r>
    </w:p>
    <w:p w14:paraId="0F656C06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у 2023.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реализовало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EDE577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22.</w:t>
      </w:r>
    </w:p>
    <w:p w14:paraId="0188E46B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решаваће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снази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AF9CB5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23.</w:t>
      </w:r>
    </w:p>
    <w:p w14:paraId="1B1BC2AB" w14:textId="73BE8456" w:rsidR="00C635F9" w:rsidRDefault="0072342F" w:rsidP="00515D1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 48/18, 29/19, 78/20 и 119/21).</w:t>
      </w:r>
    </w:p>
    <w:p w14:paraId="6EE7D651" w14:textId="4F15E406" w:rsidR="00515D14" w:rsidRDefault="00515D14" w:rsidP="00515D1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9AB19" w14:textId="77777777" w:rsidR="00515D14" w:rsidRPr="00515D14" w:rsidRDefault="00515D14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1307E354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24.</w:t>
      </w:r>
    </w:p>
    <w:p w14:paraId="30A8D2C0" w14:textId="77777777" w:rsidR="00C635F9" w:rsidRPr="00515D14" w:rsidRDefault="0072342F" w:rsidP="00515D1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A9E34B" w14:textId="77777777" w:rsidR="00C635F9" w:rsidRPr="00515D14" w:rsidRDefault="0072342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110-00-132/2023-09</w:t>
      </w:r>
    </w:p>
    <w:p w14:paraId="2B81A264" w14:textId="77777777" w:rsidR="00C635F9" w:rsidRPr="00515D14" w:rsidRDefault="0072342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, 4.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273FB09E" w14:textId="77777777" w:rsidR="00C635F9" w:rsidRPr="00515D14" w:rsidRDefault="0072342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677284" w14:textId="77777777" w:rsidR="00C635F9" w:rsidRPr="00515D14" w:rsidRDefault="0072342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Јелена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Танасковић</w:t>
      </w:r>
      <w:proofErr w:type="spellEnd"/>
      <w:r w:rsidRPr="00515D1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A118FC" w14:textId="77777777" w:rsidR="00C635F9" w:rsidRPr="00515D14" w:rsidRDefault="0072342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274825A9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>ТАБЕЛА – 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82"/>
        <w:gridCol w:w="3880"/>
        <w:gridCol w:w="4330"/>
      </w:tblGrid>
      <w:tr w:rsidR="00C635F9" w:rsidRPr="00515D14" w14:paraId="5FDD3A67" w14:textId="77777777">
        <w:trPr>
          <w:trHeight w:val="45"/>
          <w:tblCellSpacing w:w="0" w:type="auto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97B05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3513240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1AD5E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ВРСТА ПОДСТИЦАЈА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4F378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ПРИХВАТЉИВЕ ИНВЕСТИЦИЈЕ</w:t>
            </w:r>
          </w:p>
        </w:tc>
      </w:tr>
      <w:tr w:rsidR="00C635F9" w:rsidRPr="00515D14" w14:paraId="6FFEA1B7" w14:textId="77777777">
        <w:trPr>
          <w:trHeight w:val="45"/>
          <w:tblCellSpacing w:w="0" w:type="auto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66C57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7272A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63CC4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пластенике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алуминијумске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поцинковане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челичне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челичне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646021E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вишегодишње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вишеслојне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фолије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пластеника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6CC2DB7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фолије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спречавање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губитака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изузимајући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малч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фолије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2027FC7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ECB4E8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додатно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осветљење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7E50A49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сетву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садњу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мулчирање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8C899D7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хидропоничну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биљака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C2A8BE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хлађење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центрифугални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аксијални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вентилатори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измењивачи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0D0607B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компресори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кондензатори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горионици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циркулацију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ваздуха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05123843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вештачко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опрашивање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биљака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7051345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могућношћу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ђубрења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микроорошавањем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латерале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8C10900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микрораспршивачи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распршивачи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распрскивачи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спојнице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7082EAB0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обогаћивање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угљен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угљен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97249C9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пуњење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саксија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супстратом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859AEE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прављење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супстрата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95806B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испитивање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параметара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26C4831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угљен-диоксида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затвореном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F1A1F93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влажности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супстрата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ваздуха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83A09F9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електропроводљивости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хранљивог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(ЕС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14:paraId="659D9685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киселости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супстрата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(pH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9A454B0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палете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51E51D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мотокултиватори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kw;</w:t>
            </w:r>
          </w:p>
          <w:p w14:paraId="40CF6912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635F9" w:rsidRPr="00515D14" w14:paraId="7B7AD96C" w14:textId="77777777">
        <w:trPr>
          <w:trHeight w:val="45"/>
          <w:tblCellSpacing w:w="0" w:type="auto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EE2F1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4FBF7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грожђа</w:t>
            </w:r>
            <w:proofErr w:type="spellEnd"/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2DFFE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237BBAB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F272F91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стубови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ограђивање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воћњака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D589A1C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жичана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ограђивање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воћњака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B1CD2C8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воћарско-виноградарских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агротекстил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CEF562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трогодишње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малч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фолије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јагоду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DA88952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воћарско-виноградарских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A8C4AA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латерале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микрораспршивачи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распршивачи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распрскивачи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спојнице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68D783E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тракторске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ситњење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између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редова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воћњаку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C4A84C3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ротоситнилице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ротофрезе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51D42D6B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фростбустери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горионици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53DF3005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задимљивачи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фогери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4421AF7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наслони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бетонски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дрвени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стубови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1145D4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механизација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ситњење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скупљање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брикетирање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остатака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жетве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резидбе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балирке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сечке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млинови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брикетерирке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kg/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1CB0B687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орезивање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обликовање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2570AB8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палете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0431F18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A0CA4EC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мотокултиватори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kw;</w:t>
            </w:r>
          </w:p>
          <w:p w14:paraId="621FDD54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635F9" w:rsidRPr="00515D14" w14:paraId="0D217D53" w14:textId="77777777">
        <w:trPr>
          <w:trHeight w:val="45"/>
          <w:tblCellSpacing w:w="0" w:type="auto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3F261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64DAD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ароматичног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лековитог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EC8E7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повртарских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агротекстил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26E24B4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682DE9C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сејалице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садилице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сетву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садњу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A302FB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латерале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микрораспршивачи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распршивачи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распрскивачи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спојнице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B617D9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мотокултиватори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kw;</w:t>
            </w:r>
          </w:p>
          <w:p w14:paraId="49BDB04E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635F9" w:rsidRPr="00515D14" w14:paraId="14F09136" w14:textId="77777777">
        <w:trPr>
          <w:trHeight w:val="45"/>
          <w:tblCellSpacing w:w="0" w:type="auto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19C96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1129C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убирање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ароматичног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лековитог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3EEFF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винову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B547E15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скупљање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језграстог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375D679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покретне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бербу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B1E110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убирање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њиви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513D516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елеватори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купилице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извађеног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њиви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E2A8A0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везивање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66BD0BA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мотокултиватори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kw;</w:t>
            </w:r>
          </w:p>
          <w:p w14:paraId="313337CD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635F9" w:rsidRPr="00515D14" w14:paraId="67418917" w14:textId="77777777">
        <w:trPr>
          <w:trHeight w:val="45"/>
          <w:tblCellSpacing w:w="0" w:type="auto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F8102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51300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примарну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житарица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индустријског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крмног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6C8C9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сејалице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сетву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житарица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индустријског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крмног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417C12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сушаре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житарице</w:t>
            </w:r>
            <w:proofErr w:type="spellEnd"/>
          </w:p>
        </w:tc>
      </w:tr>
      <w:tr w:rsidR="00C635F9" w:rsidRPr="00515D14" w14:paraId="12C779F9" w14:textId="77777777">
        <w:trPr>
          <w:trHeight w:val="45"/>
          <w:tblCellSpacing w:w="0" w:type="auto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52D4B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76C58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биљака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штеточина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прихрањивање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бербу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41422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плугови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тањираче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5DA51D9D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допунску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култиватори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грубери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подривачи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сетвоспремачи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дрљаче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26DF1E5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ротоситнилице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ротофрезе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EE59A35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ваљкови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сетвену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959D00C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међуредни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култиватори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58F52AD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расипачи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минералног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ђубрива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минималног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капацитета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литара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6636321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тракторске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прскалице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атомизери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апликацију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пестицида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0DDED03E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уситњавање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жетве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сечке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тарупи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7E7998A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AFA13C1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(GPS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навигација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14:paraId="76D4BE08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„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пужни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транспортерˮ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8B40D3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берач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42CBAD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берач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сунцокрета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8C6A57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телескопски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манипулатор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припадајућом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D851D0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аутоматско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ђубрење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635F9" w:rsidRPr="00515D14" w14:paraId="26BD313B" w14:textId="77777777">
        <w:trPr>
          <w:trHeight w:val="45"/>
          <w:tblCellSpacing w:w="0" w:type="auto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FE08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431B4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биљних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39417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A051E0E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покретање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бензински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погон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15EE7E9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”: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капајући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окитени-полидрип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капајуће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јагоду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вентури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вентури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комплети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0F3B3FB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дозатори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ђубрива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улошци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улошци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капљачи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затварачи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капљаче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полидрипова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бужири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затезачи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04C71F6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копче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тефлон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регулатори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притиска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ваздушни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одушци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манометри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кључеви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спојнице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FBCB2AC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фитинзи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нипле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муфови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лактови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редуцири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разделници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холендери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51F5531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спојнице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затварачи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завршни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стартери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обујмице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прикључци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продужеци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E13F112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вештачком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кишом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пивот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топови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тифони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распрскивачи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142931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покривка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акумулацију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67CF4C6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2C71DB4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резервоари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воду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BCB710F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563DC1F" w14:textId="77777777" w:rsidR="00515D14" w:rsidRDefault="00515D1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7476D" w14:textId="77777777" w:rsidR="00515D14" w:rsidRDefault="00515D1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99C41" w14:textId="77777777" w:rsidR="00515D14" w:rsidRDefault="00515D1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94766" w14:textId="77777777" w:rsidR="00515D14" w:rsidRDefault="00515D1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31663AC" w14:textId="3494BD1E" w:rsidR="00C635F9" w:rsidRPr="00515D14" w:rsidRDefault="0072342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4CFAA303" w14:textId="77777777" w:rsidR="00C635F9" w:rsidRPr="00515D14" w:rsidRDefault="007234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> ТАБЕЛА ЧЛАНОВА ЗАДРУГЕ</w:t>
      </w:r>
    </w:p>
    <w:p w14:paraId="464C88A6" w14:textId="77777777" w:rsidR="00C635F9" w:rsidRPr="00515D14" w:rsidRDefault="0072342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земљорадничке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задруге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32AFD" w14:textId="77777777" w:rsidR="00C635F9" w:rsidRPr="00515D14" w:rsidRDefault="0072342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3D34E7DA" w14:textId="77777777" w:rsidR="00C635F9" w:rsidRPr="00515D14" w:rsidRDefault="0072342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земљорадничке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задруге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1AF7C06" w14:textId="77777777" w:rsidR="00C635F9" w:rsidRPr="00515D14" w:rsidRDefault="0072342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15D14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3435D1B7" w14:textId="77777777" w:rsidR="00C635F9" w:rsidRPr="00515D14" w:rsidRDefault="0072342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земљорадничке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задруге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уписани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носиоци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комерцијалних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породичних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активном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D14"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5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23"/>
        <w:gridCol w:w="2275"/>
        <w:gridCol w:w="496"/>
        <w:gridCol w:w="2438"/>
        <w:gridCol w:w="1460"/>
      </w:tblGrid>
      <w:tr w:rsidR="00C635F9" w:rsidRPr="00515D14" w14:paraId="23BF5E86" w14:textId="77777777">
        <w:trPr>
          <w:trHeight w:val="45"/>
          <w:tblCellSpacing w:w="0" w:type="auto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B23AA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3DD7E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члана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задруге</w:t>
            </w:r>
            <w:proofErr w:type="spellEnd"/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4EF1C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газдинства</w:t>
            </w:r>
            <w:proofErr w:type="spellEnd"/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5D1D3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Потпис</w:t>
            </w:r>
            <w:proofErr w:type="spellEnd"/>
          </w:p>
        </w:tc>
      </w:tr>
      <w:tr w:rsidR="00C635F9" w:rsidRPr="00515D14" w14:paraId="30932481" w14:textId="77777777">
        <w:trPr>
          <w:trHeight w:val="45"/>
          <w:tblCellSpacing w:w="0" w:type="auto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A1078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6CAF9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58434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D9F40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35F9" w:rsidRPr="00515D14" w14:paraId="5B6FB5C2" w14:textId="77777777">
        <w:trPr>
          <w:trHeight w:val="45"/>
          <w:tblCellSpacing w:w="0" w:type="auto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C42EE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064AC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30DE0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819B9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35F9" w:rsidRPr="00515D14" w14:paraId="08653776" w14:textId="77777777">
        <w:trPr>
          <w:trHeight w:val="45"/>
          <w:tblCellSpacing w:w="0" w:type="auto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CAE5D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A0C4B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638F1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34906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35F9" w:rsidRPr="00515D14" w14:paraId="7FE53890" w14:textId="77777777">
        <w:trPr>
          <w:trHeight w:val="45"/>
          <w:tblCellSpacing w:w="0" w:type="auto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D59E6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E9097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DC7FF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E64FE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35F9" w:rsidRPr="00515D14" w14:paraId="455A6AC7" w14:textId="77777777">
        <w:trPr>
          <w:trHeight w:val="45"/>
          <w:tblCellSpacing w:w="0" w:type="auto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7F9C8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61EBD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5EB2A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B6E11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35F9" w:rsidRPr="00515D14" w14:paraId="59D9DF9F" w14:textId="77777777">
        <w:trPr>
          <w:trHeight w:val="45"/>
          <w:tblCellSpacing w:w="0" w:type="auto"/>
        </w:trPr>
        <w:tc>
          <w:tcPr>
            <w:tcW w:w="8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F1DA6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датум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13C7A" w14:textId="77777777" w:rsidR="00C635F9" w:rsidRPr="00515D14" w:rsidRDefault="00723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Потпис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одговорног</w:t>
            </w:r>
            <w:proofErr w:type="spellEnd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C635F9" w:rsidRPr="00515D14" w14:paraId="11752311" w14:textId="77777777">
        <w:trPr>
          <w:trHeight w:val="45"/>
          <w:tblCellSpacing w:w="0" w:type="auto"/>
        </w:trPr>
        <w:tc>
          <w:tcPr>
            <w:tcW w:w="8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4C5A9" w14:textId="77777777" w:rsidR="00C635F9" w:rsidRPr="00515D14" w:rsidRDefault="00C6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F9147" w14:textId="77777777" w:rsidR="00C635F9" w:rsidRPr="00515D14" w:rsidRDefault="00C635F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F0796" w14:textId="77777777" w:rsidR="0072342F" w:rsidRPr="00515D14" w:rsidRDefault="0072342F">
      <w:pPr>
        <w:rPr>
          <w:rFonts w:ascii="Times New Roman" w:hAnsi="Times New Roman" w:cs="Times New Roman"/>
          <w:sz w:val="24"/>
          <w:szCs w:val="24"/>
        </w:rPr>
      </w:pPr>
    </w:p>
    <w:sectPr w:rsidR="0072342F" w:rsidRPr="00515D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F9"/>
    <w:rsid w:val="00515D14"/>
    <w:rsid w:val="00674004"/>
    <w:rsid w:val="0072342F"/>
    <w:rsid w:val="00C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FC49"/>
  <w15:docId w15:val="{95A24CC7-1600-4A63-8ED6-C96F1F92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DC13-87F3-4BD7-97D0-7D4A3A18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6533</Words>
  <Characters>37242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Sonja Skorupan</cp:lastModifiedBy>
  <cp:revision>2</cp:revision>
  <dcterms:created xsi:type="dcterms:W3CDTF">2023-08-07T06:29:00Z</dcterms:created>
  <dcterms:modified xsi:type="dcterms:W3CDTF">2023-08-07T06:29:00Z</dcterms:modified>
</cp:coreProperties>
</file>