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A7DD" w14:textId="77777777" w:rsidR="00821DE2" w:rsidRDefault="008929EA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5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7E3ECC2E" w14:textId="77777777" w:rsidR="00821DE2" w:rsidRDefault="008929EA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83/2024, Датум: 18.10.2024.</w:t>
      </w:r>
    </w:p>
    <w:p w14:paraId="4A2C0D80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4581</w:t>
      </w:r>
    </w:p>
    <w:p w14:paraId="170ECD08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На основу члана 34. став 7. Закона о подстицајима у пољопривреди и руралном развоју („Службени гласник РС”, бр. 10/13, 142/14, 103/15, 101/16, 35/23 и 92/23),</w:t>
      </w:r>
    </w:p>
    <w:p w14:paraId="2DDC641B" w14:textId="77777777" w:rsidR="00821DE2" w:rsidRDefault="008929EA">
      <w:pPr>
        <w:spacing w:line="210" w:lineRule="atLeast"/>
      </w:pPr>
      <w:r>
        <w:rPr>
          <w:rFonts w:ascii="Verdana" w:eastAsia="Verdana" w:hAnsi="Verdana" w:cs="Verdana"/>
        </w:rPr>
        <w:t>Министар пољопривреде, шумарства и водопривреде доноси</w:t>
      </w:r>
    </w:p>
    <w:p w14:paraId="7AF91C1F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14:paraId="41B8D9EE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изменама и допуни Правилника о</w:t>
      </w:r>
      <w:r>
        <w:rPr>
          <w:rFonts w:ascii="Verdana" w:eastAsia="Verdana" w:hAnsi="Verdana" w:cs="Verdana"/>
          <w:b/>
        </w:rPr>
        <w:t xml:space="preserve">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</w:t>
      </w:r>
    </w:p>
    <w:p w14:paraId="6B8D6549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2A739BF4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У Правилнику о подстицајима за инвестиције у физичку имовину пољопривредног газдинства за наб</w:t>
      </w:r>
      <w:r>
        <w:rPr>
          <w:rFonts w:ascii="Verdana" w:eastAsia="Verdana" w:hAnsi="Verdana" w:cs="Verdana"/>
        </w:rPr>
        <w:t>авку нових машина и опреме за унапређење примарне производње биљних култура („Службени гласник РС”, број 65/23), у члану 5. став 2. тачка 3) мења се и гласи:</w:t>
      </w:r>
    </w:p>
    <w:p w14:paraId="3032B1FD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„3) је пре подношења захтева за остваривање права на подстицаје у складу са овим правилником, у Ре</w:t>
      </w:r>
      <w:r>
        <w:rPr>
          <w:rFonts w:ascii="Verdana" w:eastAsia="Verdana" w:hAnsi="Verdana" w:cs="Verdana"/>
        </w:rPr>
        <w:t>гистру извршило обнову регистрације за текућу годину, у складу са посебним прописом којим се уређује упис у Регистар пољопривредних газдинстава, промена података и обнова регистрације, електронско поступање, као и услови за пасиван статус пољопривредног га</w:t>
      </w:r>
      <w:r>
        <w:rPr>
          <w:rFonts w:ascii="Verdana" w:eastAsia="Verdana" w:hAnsi="Verdana" w:cs="Verdana"/>
        </w:rPr>
        <w:t>здинства, осим ако је ново комерцијално породично пољопривредно газдинство, односно пољопривредно газдинство први пут уписано у Регистар у текућој години у којој се подноси захтев за остваривање права на подстицаје.”.</w:t>
      </w:r>
    </w:p>
    <w:p w14:paraId="23E3024A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56DBA061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У члану 6. тачка 4) мења се и </w:t>
      </w:r>
      <w:r>
        <w:rPr>
          <w:rFonts w:ascii="Verdana" w:eastAsia="Verdana" w:hAnsi="Verdana" w:cs="Verdana"/>
        </w:rPr>
        <w:t>гласи:</w:t>
      </w:r>
    </w:p>
    <w:p w14:paraId="42A49EBA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„4) је инвестицију која је предмет захтева за остваривање права на подстицаје у потпуности реализовало у периоду од дана истека рока за подношење захтева за остваривање права на подстицаје по претходном јавном позиву у складу са овим правилником, а </w:t>
      </w:r>
      <w:r>
        <w:rPr>
          <w:rFonts w:ascii="Verdana" w:eastAsia="Verdana" w:hAnsi="Verdana" w:cs="Verdana"/>
        </w:rPr>
        <w:t>најкасније до дана подношења захтева за остваривање права на подстицаје по текућем јавном позиву у складу са овим правилником;”.</w:t>
      </w:r>
    </w:p>
    <w:p w14:paraId="406A1837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14:paraId="412FDD3B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Члан 7. мења се и гласи:</w:t>
      </w:r>
    </w:p>
    <w:p w14:paraId="644705CF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„Члан 7.</w:t>
      </w:r>
    </w:p>
    <w:p w14:paraId="13B6CD30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„Лице из члана 5. овог правилника, које испуњава опште услове из члана 6. овог правил</w:t>
      </w:r>
      <w:r>
        <w:rPr>
          <w:rFonts w:ascii="Verdana" w:eastAsia="Verdana" w:hAnsi="Verdana" w:cs="Verdana"/>
        </w:rPr>
        <w:t xml:space="preserve">ника, остварује право на одговарајућу врсту подстицаја из члана 3. овог правилника ако у Регистру има уписано пољопривредно земљиште под производњом одговарајућих врста биљних култура и ако је инвестиција </w:t>
      </w:r>
      <w:r>
        <w:rPr>
          <w:rFonts w:ascii="Verdana" w:eastAsia="Verdana" w:hAnsi="Verdana" w:cs="Verdana"/>
        </w:rPr>
        <w:lastRenderedPageBreak/>
        <w:t>која је предмет захтева за остваривање права на под</w:t>
      </w:r>
      <w:r>
        <w:rPr>
          <w:rFonts w:ascii="Verdana" w:eastAsia="Verdana" w:hAnsi="Verdana" w:cs="Verdana"/>
        </w:rPr>
        <w:t>стицаје везана за производњу те врсте биљних култура.</w:t>
      </w:r>
    </w:p>
    <w:p w14:paraId="66EA6EFF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Лице из става 1. овог члана остварује право на одговарајућу врсту подстицаја из члана 3. овог правилника за предмет инвестиције везан за производњу грожђа, хмеља, цвећа, ароматичног и лековитог биља, ка</w:t>
      </w:r>
      <w:r>
        <w:rPr>
          <w:rFonts w:ascii="Verdana" w:eastAsia="Verdana" w:hAnsi="Verdana" w:cs="Verdana"/>
        </w:rPr>
        <w:t>о и житарица и индустријског биља, осим хмеља, ако у Регистру има уписано пољопривредно земљиште под производњом ових врста биљних култура, и то површине до:</w:t>
      </w:r>
    </w:p>
    <w:p w14:paraId="4AB10E31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1) 2 ha грожђа;</w:t>
      </w:r>
    </w:p>
    <w:p w14:paraId="057A5AAD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2) 2 ha хмеља;</w:t>
      </w:r>
    </w:p>
    <w:p w14:paraId="41F54F67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3) 50 ha цвећа;</w:t>
      </w:r>
    </w:p>
    <w:p w14:paraId="7AF3F0DD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4) 50 ha ароматичног и лековитог биља;</w:t>
      </w:r>
    </w:p>
    <w:p w14:paraId="7B6C554D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5) 50 ha жит</w:t>
      </w:r>
      <w:r>
        <w:rPr>
          <w:rFonts w:ascii="Verdana" w:eastAsia="Verdana" w:hAnsi="Verdana" w:cs="Verdana"/>
        </w:rPr>
        <w:t>арица и индустријског биља, осим хмеља.</w:t>
      </w:r>
    </w:p>
    <w:p w14:paraId="06117778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Ако лице из става 1. овог члана у Регистру има уписане површине под производњом расада поврћа, право на подстицаје остварује и ако обавља делатност производње расада поврћа на основу уписа у Регистар произвођача семе</w:t>
      </w:r>
      <w:r>
        <w:rPr>
          <w:rFonts w:ascii="Verdana" w:eastAsia="Verdana" w:hAnsi="Verdana" w:cs="Verdana"/>
        </w:rPr>
        <w:t>на, расада, мицелија јестивих и лековитих гљива, у складу са законом којим се уређује семе.</w:t>
      </w:r>
    </w:p>
    <w:p w14:paraId="6720D9E2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Ако лице из става 2. тачка 1) овог члана у Регистру има уписане површине под производњом грожђа најмање 0,1 ha или ако има мање од 0,1 ha, а ставља грожђе у промет,</w:t>
      </w:r>
      <w:r>
        <w:rPr>
          <w:rFonts w:ascii="Verdana" w:eastAsia="Verdana" w:hAnsi="Verdana" w:cs="Verdana"/>
        </w:rPr>
        <w:t xml:space="preserve"> право на подстицаје остварује и ако је као произвођач грожђа уписано у Виноградарски регистар у складу са законом којим се уређује вино.</w:t>
      </w:r>
    </w:p>
    <w:p w14:paraId="7253A224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Изузетно од става 2. тачка 5) овог члана, лице из става 1. овог члана остварује право на подстицаје за инвестиције у н</w:t>
      </w:r>
      <w:r>
        <w:rPr>
          <w:rFonts w:ascii="Verdana" w:eastAsia="Verdana" w:hAnsi="Verdana" w:cs="Verdana"/>
        </w:rPr>
        <w:t>абавку нових машина и опреме за наводњавање биљних култура из члана 3. став 1. тачка 7) овог правилника ако у Регистру има уписано пољопривредно земљиште под производњом житарица и индустријског биља, осим хмеља, површине до 100 ha.”.</w:t>
      </w:r>
    </w:p>
    <w:p w14:paraId="0D8046A0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14:paraId="0D22323C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10. с</w:t>
      </w:r>
      <w:r>
        <w:rPr>
          <w:rFonts w:ascii="Verdana" w:eastAsia="Verdana" w:hAnsi="Verdana" w:cs="Verdana"/>
        </w:rPr>
        <w:t>тав 1. после речи: „еАграр” додају се запета и речи: „следећа документација која се односи на реализацију инвестиције од стране подносиоца захтева, и то”.</w:t>
      </w:r>
    </w:p>
    <w:p w14:paraId="73EDCD8F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14:paraId="04F3D5C6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11. тачка 10) речи: „уписано пољопривредно земљиште под производњом грожђа”, замењују се речима: „уписане површине под производњом грожђа од најмање 0,1 ha”.</w:t>
      </w:r>
    </w:p>
    <w:p w14:paraId="195CB2EC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14:paraId="1448BEBC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20. став 5. речи: „800.000 динара” замењују се речима: „1.500.000 динара”.</w:t>
      </w:r>
    </w:p>
    <w:p w14:paraId="45C9F236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14:paraId="6F5DD922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 xml:space="preserve">Прилог 1 – Табела – Подстицаји и прихватљиве инвестиције у физичку имовину пољопривредног газдинства за набавку нових машина и опреме за унапређење примарне производње биљних култура, који је одштампан уз Правилник о подстицајима за инвестиције у </w:t>
      </w:r>
      <w:r>
        <w:rPr>
          <w:rFonts w:ascii="Verdana" w:eastAsia="Verdana" w:hAnsi="Verdana" w:cs="Verdana"/>
        </w:rPr>
        <w:t>физичку имовину пољопривредног газдинства за набавку нових машина и опреме за унапређење примарне производње биљних култура („Службени гласник РС”, број 65/23) и чини његов саставни део, замењује се Прилогом 1 – Табела – Подстицаји и прихватљиве инвестициј</w:t>
      </w:r>
      <w:r>
        <w:rPr>
          <w:rFonts w:ascii="Verdana" w:eastAsia="Verdana" w:hAnsi="Verdana" w:cs="Verdana"/>
        </w:rPr>
        <w:t>е у физичку имовину пољопривредног газдинства за набавку нових машина и опреме за унапређење примарне производње биљних култура, који је одштампан уз овај правилник и чини његов саставни део.</w:t>
      </w:r>
    </w:p>
    <w:p w14:paraId="7E5FCD2E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14:paraId="3C4F6A34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Захтеви за остваривање права на подстицаје поднети до да</w:t>
      </w:r>
      <w:r>
        <w:rPr>
          <w:rFonts w:ascii="Verdana" w:eastAsia="Verdana" w:hAnsi="Verdana" w:cs="Verdana"/>
        </w:rPr>
        <w:t>на ступања на снагу овог правилника решаваће се у складу са прописом који је био на снази у време њиховог подношења.</w:t>
      </w:r>
    </w:p>
    <w:p w14:paraId="4DAA168B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14:paraId="112FC18B" w14:textId="77777777" w:rsidR="00821DE2" w:rsidRDefault="008929EA" w:rsidP="00175FC9">
      <w:pPr>
        <w:spacing w:line="210" w:lineRule="atLeast"/>
        <w:jc w:val="both"/>
      </w:pPr>
      <w:r>
        <w:rPr>
          <w:rFonts w:ascii="Verdana" w:eastAsia="Verdana" w:hAnsi="Verdana" w:cs="Verdana"/>
        </w:rPr>
        <w:t>Овај правилник ступа на снагу наредног дана од дана објављивања у „Службеном гласнику Републике Србијеˮ.</w:t>
      </w:r>
    </w:p>
    <w:p w14:paraId="7020AC50" w14:textId="77777777" w:rsidR="00821DE2" w:rsidRDefault="008929EA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002570959 2024 14840 007 001 012</w:t>
      </w:r>
    </w:p>
    <w:p w14:paraId="307F6975" w14:textId="77777777" w:rsidR="00821DE2" w:rsidRDefault="008929EA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7. октобра 2024. године</w:t>
      </w:r>
    </w:p>
    <w:p w14:paraId="22FD72AA" w14:textId="77777777" w:rsidR="00821DE2" w:rsidRDefault="008929EA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14:paraId="7024B055" w14:textId="77777777" w:rsidR="00821DE2" w:rsidRDefault="008929EA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др </w:t>
      </w:r>
      <w:r>
        <w:rPr>
          <w:rFonts w:ascii="Verdana" w:eastAsia="Verdana" w:hAnsi="Verdana" w:cs="Verdana"/>
          <w:b/>
        </w:rPr>
        <w:t>Александар Мартиновић,</w:t>
      </w:r>
      <w:r>
        <w:rPr>
          <w:rFonts w:ascii="Verdana" w:eastAsia="Verdana" w:hAnsi="Verdana" w:cs="Verdana"/>
        </w:rPr>
        <w:t xml:space="preserve"> с.р.</w:t>
      </w:r>
    </w:p>
    <w:p w14:paraId="4A8D9F25" w14:textId="77777777" w:rsidR="00821DE2" w:rsidRDefault="008929EA" w:rsidP="00175FC9">
      <w:pPr>
        <w:spacing w:line="210" w:lineRule="atLeast"/>
        <w:jc w:val="center"/>
      </w:pPr>
      <w:r>
        <w:rPr>
          <w:rFonts w:ascii="Verdana" w:eastAsia="Verdana" w:hAnsi="Verdana" w:cs="Verdana"/>
        </w:rPr>
        <w:t>Прилог 1.</w:t>
      </w:r>
    </w:p>
    <w:p w14:paraId="361F286E" w14:textId="77777777" w:rsidR="00821DE2" w:rsidRDefault="008929EA">
      <w:pPr>
        <w:spacing w:line="210" w:lineRule="atLeast"/>
        <w:jc w:val="center"/>
      </w:pPr>
      <w:r>
        <w:rPr>
          <w:rFonts w:ascii="Verdana" w:eastAsia="Verdana" w:hAnsi="Verdana" w:cs="Verdana"/>
        </w:rPr>
        <w:t>ТАБЕЛА – ПОДСТИЦАЈИ И ПРИХ</w:t>
      </w:r>
      <w:r>
        <w:rPr>
          <w:rFonts w:ascii="Verdana" w:eastAsia="Verdana" w:hAnsi="Verdana" w:cs="Verdana"/>
        </w:rPr>
        <w:t>ВАТЉИВЕ ИНВЕСТИЦИЈЕ У ФИЗИЧКУ ИМОВИНУ ПОЉОПРИВРЕДНОГ ГАЗДИНСТВА ЗА НАБАВКУ НОВИХ МАШИНА И ОПРЕМЕ ЗА УНАПРЕЂЕЊЕ ПРИМАРНЕ ПРОИЗВОДЊЕ БИЉНИХ КУЛТУРА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4205"/>
        <w:gridCol w:w="4249"/>
      </w:tblGrid>
      <w:tr w:rsidR="00821DE2" w14:paraId="1385A5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E391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Ред.</w:t>
            </w:r>
          </w:p>
          <w:p w14:paraId="274D2930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1E569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ПОДСТИЦАЈА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D837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ПРИХВАТЉИВЕ ИНВЕСТИЦИЈЕ</w:t>
            </w:r>
          </w:p>
        </w:tc>
      </w:tr>
      <w:tr w:rsidR="00821DE2" w14:paraId="56BB16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F797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0D29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инвестиције за набавку нових машина и опреме за примарну производњу биљних култура у заштићеном простору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A54E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конструкције за пластенике (алуминијумске, поцинковане челичне, челичне и пластичне);</w:t>
            </w:r>
          </w:p>
          <w:p w14:paraId="5C0F58C8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вишегодишње, вишеслојне фолије за покривање п</w:t>
            </w:r>
            <w:r>
              <w:rPr>
                <w:rFonts w:ascii="Verdana" w:eastAsia="Verdana" w:hAnsi="Verdana" w:cs="Verdana"/>
              </w:rPr>
              <w:t>ластеника;</w:t>
            </w:r>
          </w:p>
          <w:p w14:paraId="53CDDA61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фолије за сенчење и спречавање губитака топлоте, трогодишње малч фолије;</w:t>
            </w:r>
          </w:p>
          <w:p w14:paraId="1B3FA065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4) мреже за сенчење објекта;</w:t>
            </w:r>
          </w:p>
          <w:p w14:paraId="72F8FE68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5) опрема и уређаји за додатно осветљење у заштићеном простору;</w:t>
            </w:r>
          </w:p>
          <w:p w14:paraId="5544D311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6) машине за сетву/садњу и </w:t>
            </w:r>
            <w:r>
              <w:rPr>
                <w:rFonts w:ascii="Verdana" w:eastAsia="Verdana" w:hAnsi="Verdana" w:cs="Verdana"/>
              </w:rPr>
              <w:lastRenderedPageBreak/>
              <w:t>мулчирање у заштићеном простору;</w:t>
            </w:r>
          </w:p>
          <w:p w14:paraId="4C62139C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7) опрема и уређ</w:t>
            </w:r>
            <w:r>
              <w:rPr>
                <w:rFonts w:ascii="Verdana" w:eastAsia="Verdana" w:hAnsi="Verdana" w:cs="Verdana"/>
              </w:rPr>
              <w:t>аји за хидропоничну производњу биљака у заштићеном простору;</w:t>
            </w:r>
          </w:p>
          <w:p w14:paraId="699718BE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8) опрема за вентилацију, хлађење, односно грејање простора (центрифугални или аксијални вентилатори, измењивачи топлоте, компресори, кондензатори, вентили, котлови/горионици и пумпе за циркулаци</w:t>
            </w:r>
            <w:r>
              <w:rPr>
                <w:rFonts w:ascii="Verdana" w:eastAsia="Verdana" w:hAnsi="Verdana" w:cs="Verdana"/>
              </w:rPr>
              <w:t>ју ваздуха);</w:t>
            </w:r>
          </w:p>
          <w:p w14:paraId="649D1F64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9) опрема и уређаји за вештачко опрашивање биљака;</w:t>
            </w:r>
          </w:p>
          <w:p w14:paraId="7ACA2E85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10) системи за наводњавање са могућношћу ђубрења и влажење простора микроорошавањем (разводне цеви, латерале, микрораспршивачи, распршивачи, распрскивачи, спојнице, филтери, вентили и славине)</w:t>
            </w:r>
            <w:r>
              <w:rPr>
                <w:rFonts w:ascii="Verdana" w:eastAsia="Verdana" w:hAnsi="Verdana" w:cs="Verdana"/>
              </w:rPr>
              <w:t>;</w:t>
            </w:r>
          </w:p>
          <w:p w14:paraId="39679370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11) опрема за обогаћивање угљен диоксидом (ђубрење угљен-диоксидом при производњи у заштићеном простору);</w:t>
            </w:r>
          </w:p>
          <w:p w14:paraId="558FF18C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12) машине за пуњење саксија супстратом;</w:t>
            </w:r>
          </w:p>
          <w:p w14:paraId="0E327B1A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13) машине за прављење супстрата за производњу цвећа;</w:t>
            </w:r>
          </w:p>
          <w:p w14:paraId="41A955DC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14) опрема за испитивање параметара заштићеног просто</w:t>
            </w:r>
            <w:r>
              <w:rPr>
                <w:rFonts w:ascii="Verdana" w:eastAsia="Verdana" w:hAnsi="Verdana" w:cs="Verdana"/>
              </w:rPr>
              <w:t>ра:</w:t>
            </w:r>
          </w:p>
          <w:p w14:paraId="184FA25B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а) инструменти за мерење нивоа угљен-диоксида у затвореном простору,</w:t>
            </w:r>
          </w:p>
          <w:p w14:paraId="421430D6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б) инструменти за мерење температуре и влажности земљишта, супстрата и ваздуха,</w:t>
            </w:r>
          </w:p>
          <w:p w14:paraId="1BA248ED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в) инструменти за мерење електропроводљивости воде и хранљивог раствора (ЕС метри),</w:t>
            </w:r>
          </w:p>
          <w:p w14:paraId="3BD47501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г) инструменти за м</w:t>
            </w:r>
            <w:r>
              <w:rPr>
                <w:rFonts w:ascii="Verdana" w:eastAsia="Verdana" w:hAnsi="Verdana" w:cs="Verdana"/>
              </w:rPr>
              <w:t>ерење киселости земљишта и супстрата (pH метри);</w:t>
            </w:r>
          </w:p>
          <w:p w14:paraId="60997716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15) бокс палете;</w:t>
            </w:r>
          </w:p>
          <w:p w14:paraId="7A7A6B05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16) мотокултиватори до 10 kw;</w:t>
            </w:r>
          </w:p>
          <w:p w14:paraId="45688B76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17) тримери.</w:t>
            </w:r>
          </w:p>
        </w:tc>
      </w:tr>
      <w:tr w:rsidR="00821DE2" w14:paraId="0EF082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E313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24D8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инвестиције за набавку нових машина и опреме за примарну производњу воћа и грожђа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631E2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противградна мрежа;</w:t>
            </w:r>
          </w:p>
          <w:p w14:paraId="0B6450CB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носачи за противградну мрежу;</w:t>
            </w:r>
          </w:p>
          <w:p w14:paraId="227C3D3D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стубови за ограђивање воћњака и винограда;</w:t>
            </w:r>
          </w:p>
          <w:p w14:paraId="13460E31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4) жичана ограда за ограђивање воћњака и винограда;</w:t>
            </w:r>
          </w:p>
          <w:p w14:paraId="019B2B82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5) мат</w:t>
            </w:r>
            <w:r>
              <w:rPr>
                <w:rFonts w:ascii="Verdana" w:eastAsia="Verdana" w:hAnsi="Verdana" w:cs="Verdana"/>
              </w:rPr>
              <w:t>еријали за покривање воћарско-виноградарских култура у циљу заштите од мраза – агротекстил;</w:t>
            </w:r>
          </w:p>
          <w:p w14:paraId="38E0D0D0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6) трогодишње малч фолије – само за јагоду;</w:t>
            </w:r>
          </w:p>
          <w:p w14:paraId="23B78EB3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7) материјали за покривање воћарско-виноградарских култура у циљу заштите од високих температура – мрежа за сенчење;</w:t>
            </w:r>
          </w:p>
          <w:p w14:paraId="53EA292A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8) системи за наводњавање у циљу заштите од мраза: разводне цеви, латерале, микрораспршивачи, распршивачи, распрскивачи, спојнице, филтери, вентили, као и славине;</w:t>
            </w:r>
          </w:p>
          <w:p w14:paraId="593A1CAE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9) прикључне тракторске косачице и машине за кошење и ситњење биљне масе између редова у воћ</w:t>
            </w:r>
            <w:r>
              <w:rPr>
                <w:rFonts w:ascii="Verdana" w:eastAsia="Verdana" w:hAnsi="Verdana" w:cs="Verdana"/>
              </w:rPr>
              <w:t>њаку и винограду;</w:t>
            </w:r>
          </w:p>
          <w:p w14:paraId="256B12A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10) ротоситнилице (ротофрезе);</w:t>
            </w:r>
          </w:p>
          <w:p w14:paraId="17B88464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11) фростбустери горионици (прикључна машина);</w:t>
            </w:r>
          </w:p>
          <w:p w14:paraId="1CBBA861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12) задимљивачи (фогери);</w:t>
            </w:r>
          </w:p>
          <w:p w14:paraId="66373F9E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13) наслони за производне засаде воћа и грожђа (бетонски, метални или дрвени стубови), са пратећом опремом;</w:t>
            </w:r>
          </w:p>
          <w:p w14:paraId="70907AF2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14) прикључна механизација</w:t>
            </w:r>
            <w:r>
              <w:rPr>
                <w:rFonts w:ascii="Verdana" w:eastAsia="Verdana" w:hAnsi="Verdana" w:cs="Verdana"/>
              </w:rPr>
              <w:t xml:space="preserve"> за ситњење и скупљање и брикетирање остатака после жетве/резидбе (балирке, сечке/млинови, брикетерирке до 500 kg/час);</w:t>
            </w:r>
          </w:p>
          <w:p w14:paraId="71C97AFD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15) машине и опрема за орезивање и обликовање биља;</w:t>
            </w:r>
          </w:p>
          <w:p w14:paraId="59803D76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16) бокс палете;</w:t>
            </w:r>
          </w:p>
          <w:p w14:paraId="27C2B3F5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17) противградни топ;</w:t>
            </w:r>
          </w:p>
          <w:p w14:paraId="737E7A8B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18) мотокултиватори до 10 kw;</w:t>
            </w:r>
          </w:p>
          <w:p w14:paraId="56301DB5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19) тримери.</w:t>
            </w:r>
          </w:p>
        </w:tc>
      </w:tr>
      <w:tr w:rsidR="00821DE2" w14:paraId="5EB1BF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35369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A6A8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инвестиције за набавку нових машина и опреме за примарну производњу поврћа, цвећа, ароматичног и лековитог биља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D47C2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материјали за покривање повртарских култура и цвећа, у циљу заштите од мраза – а</w:t>
            </w:r>
            <w:r>
              <w:rPr>
                <w:rFonts w:ascii="Verdana" w:eastAsia="Verdana" w:hAnsi="Verdana" w:cs="Verdana"/>
              </w:rPr>
              <w:t>гротекстил;</w:t>
            </w:r>
          </w:p>
          <w:p w14:paraId="5BB6B750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материјали за покривање поврћа и цвећа, у циљу заштите од високих температура – мрежа за сенчење;</w:t>
            </w:r>
          </w:p>
          <w:p w14:paraId="0BA3701A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трогодишње малч фолије – само за поврће;</w:t>
            </w:r>
          </w:p>
          <w:p w14:paraId="18104879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4) прикључне сејалице/садилице за сетву/садњу поврћа и цвећа;</w:t>
            </w:r>
          </w:p>
          <w:p w14:paraId="43B9182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5) системи за наводњавање у циљу зашт</w:t>
            </w:r>
            <w:r>
              <w:rPr>
                <w:rFonts w:ascii="Verdana" w:eastAsia="Verdana" w:hAnsi="Verdana" w:cs="Verdana"/>
              </w:rPr>
              <w:t>ите од мраза: разводне цеви, латерале, микрораспршивачи, распршивачи, распрскивачи, спојнице, филтери, вентили као и славине;</w:t>
            </w:r>
          </w:p>
          <w:p w14:paraId="2EE18ED4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6) мотокултиватори до 10 kw;</w:t>
            </w:r>
          </w:p>
          <w:p w14:paraId="1E3126F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7) тримери.</w:t>
            </w:r>
          </w:p>
        </w:tc>
      </w:tr>
      <w:tr w:rsidR="00821DE2" w14:paraId="6FD822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F360C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665D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инвестиције за набавку нових машина и опреме за убирање воћа, грожђа, п</w:t>
            </w:r>
            <w:r>
              <w:rPr>
                <w:rFonts w:ascii="Verdana" w:eastAsia="Verdana" w:hAnsi="Verdana" w:cs="Verdana"/>
              </w:rPr>
              <w:t>оврћа, цвећа, ароматичног и лековитог биља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EF3A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тресачи, односно други берачи за воће и грожђе;</w:t>
            </w:r>
          </w:p>
          <w:p w14:paraId="29AE5E10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машине за скупљање језграстог воћа;</w:t>
            </w:r>
          </w:p>
          <w:p w14:paraId="215B450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покретне платформе за бербу;</w:t>
            </w:r>
          </w:p>
          <w:p w14:paraId="45752199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4) машине за убирање поврћа и цвећа на њиви;</w:t>
            </w:r>
          </w:p>
          <w:p w14:paraId="3996B98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5) елеватори – купилице за утовар извађеног по</w:t>
            </w:r>
            <w:r>
              <w:rPr>
                <w:rFonts w:ascii="Verdana" w:eastAsia="Verdana" w:hAnsi="Verdana" w:cs="Verdana"/>
              </w:rPr>
              <w:t>врћа на њиви;</w:t>
            </w:r>
          </w:p>
          <w:p w14:paraId="665967A8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6) машине за везивање резаног цвећа;</w:t>
            </w:r>
          </w:p>
          <w:p w14:paraId="0EEA8787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7) мотокултиватори до 10 kw;</w:t>
            </w:r>
          </w:p>
          <w:p w14:paraId="565E044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8) тримери.</w:t>
            </w:r>
          </w:p>
        </w:tc>
      </w:tr>
      <w:tr w:rsidR="00821DE2" w14:paraId="52CDDC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B378E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F2079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Подстицаји за инвестиције за набавку нових машина и опреме за </w:t>
            </w:r>
            <w:r>
              <w:rPr>
                <w:rFonts w:ascii="Verdana" w:eastAsia="Verdana" w:hAnsi="Verdana" w:cs="Verdana"/>
              </w:rPr>
              <w:lastRenderedPageBreak/>
              <w:t>примарну производњу житарица, индустријског и крмног биља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8C4A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1) сејалице за сетву житарица, индустријског, односно крмног </w:t>
            </w:r>
            <w:r>
              <w:rPr>
                <w:rFonts w:ascii="Verdana" w:eastAsia="Verdana" w:hAnsi="Verdana" w:cs="Verdana"/>
              </w:rPr>
              <w:lastRenderedPageBreak/>
              <w:t>биља;</w:t>
            </w:r>
          </w:p>
          <w:p w14:paraId="5ACBAD8D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сушаре за житарице.</w:t>
            </w:r>
          </w:p>
        </w:tc>
      </w:tr>
      <w:tr w:rsidR="00821DE2" w14:paraId="7B9CBB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7CC9D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6EDC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инвестиције за набавку нових</w:t>
            </w:r>
            <w:r>
              <w:rPr>
                <w:rFonts w:ascii="Verdana" w:eastAsia="Verdana" w:hAnsi="Verdana" w:cs="Verdana"/>
              </w:rPr>
              <w:t xml:space="preserve"> машина и опреме за обраду земљишта, заштиту биљака од болести и града, корова и штеточина, прихрањивање/ђубрење, бербу и транспорт примарних пољопривредних производа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6E73B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машине за основну обраду земљишта (плугови, тањираче);</w:t>
            </w:r>
          </w:p>
          <w:p w14:paraId="0EF19F33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машине за допунску обраду зе</w:t>
            </w:r>
            <w:r>
              <w:rPr>
                <w:rFonts w:ascii="Verdana" w:eastAsia="Verdana" w:hAnsi="Verdana" w:cs="Verdana"/>
              </w:rPr>
              <w:t>мљишта (култиватори, грубери, подривачи, сетвоспремачи, дрљаче);</w:t>
            </w:r>
          </w:p>
          <w:p w14:paraId="6675160E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ротоситнилице и ротофрезе;</w:t>
            </w:r>
          </w:p>
          <w:p w14:paraId="34DC0F92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4) ваљкови за после сетвену обраду земљишта;</w:t>
            </w:r>
          </w:p>
          <w:p w14:paraId="794E30D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5) међуредни култиватори;</w:t>
            </w:r>
          </w:p>
          <w:p w14:paraId="47B5DD3D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6) машине за ђубрење земљишта (расипачи минералног ђубрива минималног капацитета 500 литар</w:t>
            </w:r>
            <w:r>
              <w:rPr>
                <w:rFonts w:ascii="Verdana" w:eastAsia="Verdana" w:hAnsi="Verdana" w:cs="Verdana"/>
              </w:rPr>
              <w:t>а);</w:t>
            </w:r>
          </w:p>
          <w:p w14:paraId="26F53B50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7) машине и механизација за заштиту биља (тракторске прскалице, атомизери, машине за апликацију пестицида у зони реда);</w:t>
            </w:r>
          </w:p>
          <w:p w14:paraId="28F130D9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8) машине за уситњавање биљне масе након жетве (сечке и тарупи);</w:t>
            </w:r>
          </w:p>
          <w:p w14:paraId="47EBC4EE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9) машине за транспорт пољопривредних производа;</w:t>
            </w:r>
          </w:p>
          <w:p w14:paraId="3AEEBEF8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10) остала опрема </w:t>
            </w:r>
            <w:r>
              <w:rPr>
                <w:rFonts w:ascii="Verdana" w:eastAsia="Verdana" w:hAnsi="Verdana" w:cs="Verdana"/>
              </w:rPr>
              <w:t>за прецизну пољопривреду (GPS навигација и др.);</w:t>
            </w:r>
          </w:p>
          <w:p w14:paraId="74210822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11) „пужни транспортери”;</w:t>
            </w:r>
          </w:p>
          <w:p w14:paraId="3241EA9A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12) прикључни берачи за житарице и индустријско биље;</w:t>
            </w:r>
          </w:p>
          <w:p w14:paraId="25D1DF4D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13) хедери, адаптери за комбајн;</w:t>
            </w:r>
          </w:p>
          <w:p w14:paraId="7F706024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14) пољопривредни дронови;</w:t>
            </w:r>
          </w:p>
          <w:p w14:paraId="152536B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15) телескопски манипулатори са припадајућом опремом, као и прикључни делови за телескопске манипулаторе (хидраулична рука, носач џамбо врећа, кран, кашике);</w:t>
            </w:r>
          </w:p>
          <w:p w14:paraId="4FB205FE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16) опрема за аутоматско ђубрење путем софтвера.</w:t>
            </w:r>
          </w:p>
        </w:tc>
      </w:tr>
      <w:tr w:rsidR="00821DE2" w14:paraId="65D1F2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788F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AF12B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инвестиције за набавку нових ма</w:t>
            </w:r>
            <w:r>
              <w:rPr>
                <w:rFonts w:ascii="Verdana" w:eastAsia="Verdana" w:hAnsi="Verdana" w:cs="Verdana"/>
              </w:rPr>
              <w:t xml:space="preserve">шина и опреме за </w:t>
            </w:r>
            <w:r>
              <w:rPr>
                <w:rFonts w:ascii="Verdana" w:eastAsia="Verdana" w:hAnsi="Verdana" w:cs="Verdana"/>
              </w:rPr>
              <w:lastRenderedPageBreak/>
              <w:t>наводњавање биљних култура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FC0D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1) пумпе за наводњавање;</w:t>
            </w:r>
          </w:p>
          <w:p w14:paraId="541C5B42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2) агрегати за покретање пумпи (дизел, бензински, електро и погон на обновљиве изворе енергије);</w:t>
            </w:r>
          </w:p>
          <w:p w14:paraId="5EE5D954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системи за наводњавање „кап по кап”: капајући окитени-полидрип цеви, капајуће траке (са</w:t>
            </w:r>
            <w:r>
              <w:rPr>
                <w:rFonts w:ascii="Verdana" w:eastAsia="Verdana" w:hAnsi="Verdana" w:cs="Verdana"/>
              </w:rPr>
              <w:t xml:space="preserve">мо за јагоду, малину, купину, боровницу, поврће и цвеће), цеви, вентури цеви, вентури комплети, дозатори ђубрива, филтери, мрежни улошци за филтере, диск улошци за филтере, капљачи, затварачи за капљаче, носачи полидрипова, бужири, затезачи, копче, тефлон </w:t>
            </w:r>
            <w:r>
              <w:rPr>
                <w:rFonts w:ascii="Verdana" w:eastAsia="Verdana" w:hAnsi="Verdana" w:cs="Verdana"/>
              </w:rPr>
              <w:t xml:space="preserve">траке, славине, регулатори притиска, ваздушни одушци, бушачи цеви, манометри, кључеви за спојнице, фитинзи (нипле, муфови, колена, лактови, редуцири, разделници, холендери, спојнице, шелне, гумице, затварачи, завршни елементи, стартери, вентили, обујмице, </w:t>
            </w:r>
            <w:r>
              <w:rPr>
                <w:rFonts w:ascii="Verdana" w:eastAsia="Verdana" w:hAnsi="Verdana" w:cs="Verdana"/>
              </w:rPr>
              <w:t>прикључци, изводи, продужеци);</w:t>
            </w:r>
          </w:p>
          <w:p w14:paraId="32CF4A00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4) системи за наводњавање вештачком кишом: пивот системи, водени топови, тифони и распрскивачи;</w:t>
            </w:r>
          </w:p>
          <w:p w14:paraId="5556BDB6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5) покривка за акумулацију;</w:t>
            </w:r>
          </w:p>
          <w:p w14:paraId="7BB8D58A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6) цистерне за превоз воде за наводњавање;</w:t>
            </w:r>
          </w:p>
          <w:p w14:paraId="7CE51AF2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7) резервоари за воду;</w:t>
            </w:r>
          </w:p>
          <w:p w14:paraId="7C47B404" w14:textId="77777777" w:rsidR="00821DE2" w:rsidRDefault="008929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8) соларни панели.</w:t>
            </w:r>
          </w:p>
        </w:tc>
      </w:tr>
    </w:tbl>
    <w:p w14:paraId="4247FB70" w14:textId="77777777" w:rsidR="008929EA" w:rsidRDefault="008929EA"/>
    <w:sectPr w:rsidR="008929E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DE2"/>
    <w:rsid w:val="00175FC9"/>
    <w:rsid w:val="00821DE2"/>
    <w:rsid w:val="008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AF3"/>
  <w15:docId w15:val="{7FD3BC4C-33CB-420A-9D8C-DA5322A6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avno-informacioni-sistem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BF64-B27D-45A3-9644-B0F5670C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 Ilić</cp:lastModifiedBy>
  <cp:revision>2</cp:revision>
  <dcterms:created xsi:type="dcterms:W3CDTF">2024-10-21T06:04:00Z</dcterms:created>
  <dcterms:modified xsi:type="dcterms:W3CDTF">2024-10-21T06:06:00Z</dcterms:modified>
</cp:coreProperties>
</file>