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5D5A"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color w:val="000000"/>
        </w:rPr>
        <w:t xml:space="preserve">Преузето са </w:t>
      </w:r>
      <w:hyperlink r:id="rId4" w:history="1">
        <w:r w:rsidRPr="00AB74B9">
          <w:rPr>
            <w:rFonts w:ascii="Times New Roman" w:eastAsia="Verdana" w:hAnsi="Times New Roman" w:cs="Times New Roman"/>
            <w:color w:val="337AB7"/>
          </w:rPr>
          <w:t>https://pravno-informacioni-sistem.rs</w:t>
        </w:r>
      </w:hyperlink>
    </w:p>
    <w:p w14:paraId="15192A41"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color w:val="000000"/>
        </w:rPr>
        <w:t>Службени гласник РС 103/2025, Датум: 21.11.2025.</w:t>
      </w:r>
    </w:p>
    <w:p w14:paraId="0176A9F4"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b/>
        </w:rPr>
        <w:t>5394</w:t>
      </w:r>
    </w:p>
    <w:p w14:paraId="40629AC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На основу члана 34. став 7. Закона о подстицајима у пољопривреди и руралном развоју („Службени гласник РС”, бр. 10/13, 142/14, 103/15, 101/16, 35/23, 92/23 и 94/24),</w:t>
      </w:r>
    </w:p>
    <w:p w14:paraId="21D9AE4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Министар пољопривреде, шумарства и водопривреде доноси</w:t>
      </w:r>
    </w:p>
    <w:p w14:paraId="36FF85C7"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b/>
        </w:rPr>
        <w:t>ПРАВИЛНИК</w:t>
      </w:r>
    </w:p>
    <w:p w14:paraId="03BBEEAD"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b/>
        </w:rPr>
        <w:t>о изменама и допунама Правилника о подстицајима за подршку унапређењу система креирања и преноса знања кроз подршку за развој техничко-технолошких, примењених, развојних и иновативних пројеката у пољопривреди и руралном развоју</w:t>
      </w:r>
    </w:p>
    <w:p w14:paraId="5BC00BFB"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 xml:space="preserve">Члан 1. </w:t>
      </w:r>
    </w:p>
    <w:p w14:paraId="719891AB"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Правилнику о подстицајима за подршку унапређењу система креирања и преноса знања кроз подршку за развој техничко-технолошких, примењених, развојних и иновативних пројеката у пољопривреди и руралном развоју („Службени гласник РСˮ, бр. 55/23, 75/24, 99/24 и 90/25), у члану 2. тачка на крају замењује се тачком и запетом.</w:t>
      </w:r>
    </w:p>
    <w:p w14:paraId="0519462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После тачке 4) додају се тач. 5)–9), које гласе:</w:t>
      </w:r>
    </w:p>
    <w:p w14:paraId="35A44751"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„5) примењеног пројекта за унапређење дигитализације у пољопривреди кроз подршку пољопривредницима за успостављање софтверског решења еАграр;</w:t>
      </w:r>
    </w:p>
    <w:p w14:paraId="7A50B468"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6) примењеног пројекта за унапређење функционалности  организовања произвођача вина и ракије кроз јачање удруживања и савеза;</w:t>
      </w:r>
    </w:p>
    <w:p w14:paraId="0525ECA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7) примењеног пројекта за развој система за рано упозоравање на појаву града и мраза на дневном нивоу;</w:t>
      </w:r>
    </w:p>
    <w:p w14:paraId="1AF46151"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8) примењеног пројекта за унапређење здравља усева у пољопривредној пракси кроз развој и примену дигиталног алата за јачање еколошке сигурности и здравља усева у пољопривредној пракси;</w:t>
      </w:r>
    </w:p>
    <w:p w14:paraId="2C461F11"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9) примењеног пројекта за  унапређење квалитета засада воћа кроз употребу квалитетног садног материјала.ˮ.</w:t>
      </w:r>
    </w:p>
    <w:p w14:paraId="1922A353"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2.</w:t>
      </w:r>
    </w:p>
    <w:p w14:paraId="60E059F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После члана 6. додају се чл. 6а–6д, који гласе:</w:t>
      </w:r>
    </w:p>
    <w:p w14:paraId="19E7C554"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6а</w:t>
      </w:r>
    </w:p>
    <w:p w14:paraId="6B89D94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члана 2. тачка 5) овог правилника обухватају подршку за спровођење примењеног пројекта за унапређење дигитализације у пољопривреди кроз пружање стручне помоћи пољопривредницима за успостављање и коришћење софтверског решења еАграр.</w:t>
      </w:r>
    </w:p>
    <w:p w14:paraId="2260F6E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става 1. овог члана намењени су за покриће трошкова насталих спровођењем активности у оквиру примењеног пројекта, и то:</w:t>
      </w:r>
    </w:p>
    <w:p w14:paraId="7CED80E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трошкова ангажовања лица за пружање стручне техничке подршке пољопривредницима у поступку успостављања и коришћења софтверског решења еАграр;</w:t>
      </w:r>
    </w:p>
    <w:p w14:paraId="3E769DC5"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трошкова информисања, едукације и теренске подршке пољопривредницима, који обухватају путне трошкове, трошкове превоза, као и трошкове организовања обука и саветодавних активности;</w:t>
      </w:r>
    </w:p>
    <w:p w14:paraId="678F5A9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трошкова набавке неопходног материјала, средстава и опреме за реализацију активности пројекта.</w:t>
      </w:r>
    </w:p>
    <w:p w14:paraId="01944741"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6б</w:t>
      </w:r>
    </w:p>
    <w:p w14:paraId="307E32A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lastRenderedPageBreak/>
        <w:t>Подстицаји из члана 2. тачка 6) овог правилника обухватају подршку за спровођење примењеног пројекта за унапређење функционалности организовања произвођача вина и ракије кроз јачање њиховог удруживања, развој капацитета постојећих удружења и савеза, као и унапређење механизама за координацију и заступање интереса произвођача.</w:t>
      </w:r>
    </w:p>
    <w:p w14:paraId="7469E05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става 1. овог члана намењени су за покриће трошкова насталих спровођењем активности у оквиру примењеног пројекта, и то:</w:t>
      </w:r>
    </w:p>
    <w:p w14:paraId="1CCFA33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трошкова ангажовања стручних лица за развој и јачање организационих капацитета удружења произвођача вина и ракије, као и за пружање саветодавних и административних услуга у процесу удруживања;</w:t>
      </w:r>
    </w:p>
    <w:p w14:paraId="64B522C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трошкова организовања едукативних активности, семинара, радионица и саветовања за произвођаче, који се односе на унапређење управљања удружењима, развој заједничких активности, маркетинга и промоције;</w:t>
      </w:r>
    </w:p>
    <w:p w14:paraId="14036C0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путних трошкова и трошкова превоза насталих спровођењем активности пројекта;</w:t>
      </w:r>
    </w:p>
    <w:p w14:paraId="6253420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4) трошкова израде и дистрибуције информативног материјала, набавке неопходне опреме за реализацију активности, као и трошкова пратећих услуга неопходних за спровођење пројекта (стручне анализе, консултантске услуге и сл.).</w:t>
      </w:r>
    </w:p>
    <w:p w14:paraId="2F199E7A"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6в</w:t>
      </w:r>
    </w:p>
    <w:p w14:paraId="04E1792D"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члана 2. тачка 7) овог правилника обухватају подршку за спровођење примењеног пројекта за развој система за рано упозоравање на појаву града и мраза на дневном нивоу ради правовременог информисања пољопривредних произвођача, смањења ризика од временских непогода и унапређења система заштите пољопривредне производње.</w:t>
      </w:r>
    </w:p>
    <w:p w14:paraId="58F2786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става 1. овог члана намењени су за покриће трошкова насталих спровођењем активности у оквиру примењеног пројекта, и то:</w:t>
      </w:r>
    </w:p>
    <w:p w14:paraId="6902FFE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трошкова ангажовања стручних лица за развој, одржавање и управљање системом за рано упозоравање;</w:t>
      </w:r>
    </w:p>
    <w:p w14:paraId="332143D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трошкова набавке, постављања и одржавања мерно-дијагностичке опреме и опреме за праћење метеоролошких параметара неопходних за детекцију ризика од града и мраза;</w:t>
      </w:r>
    </w:p>
    <w:p w14:paraId="1E34B560"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трошкова развоја или унапређења софтверских решења за обраду података, креирање дневних прогноза и дистрибуцију упозорења пољопривредницима;</w:t>
      </w:r>
    </w:p>
    <w:p w14:paraId="671ED9A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4) трошкова који настају кроз теренска мерења, мониторинг, путне трошкове и трошкове превоза;</w:t>
      </w:r>
    </w:p>
    <w:p w14:paraId="2591855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5) трошкова активности усмерених на едукацију пољопривредника у вези са коришћењем система за рано упозоравање и примену превентивних мера у случају ризика од мраза или града.</w:t>
      </w:r>
    </w:p>
    <w:p w14:paraId="5AB5E726"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6г</w:t>
      </w:r>
    </w:p>
    <w:p w14:paraId="0F7176A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члана 2. тачка 8) овог правилника обухватају подршку за спровођење примењеног пројекта за унапређење здравља усева у пољопривредној пракси кроз развој и примену дигиталног алата за јачање еколошке сигурности и здравља усева, ради благовременог откривања ризика, смањења употребе хемијских средстава и унапређења одрживе пољопривредне производње.</w:t>
      </w:r>
    </w:p>
    <w:p w14:paraId="0EE1699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става 1. овог члана намењени су за покриће трошкова насталих спровођењем активности у оквиру примењеног пројекта, и то:</w:t>
      </w:r>
    </w:p>
    <w:p w14:paraId="789D856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трошкова ангажовања стручних лица за развој, тестирање, имплементацију и одржавање дигиталног алата за праћење здравља усева и еколошке сигурности;</w:t>
      </w:r>
    </w:p>
    <w:p w14:paraId="4E1474D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трошкова прикупљања, обраде и анализе података са терена који се односе на фитосанитарно стање, климатске услове и друге факторе од значаја за здравље усева;</w:t>
      </w:r>
    </w:p>
    <w:p w14:paraId="01D28E6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lastRenderedPageBreak/>
        <w:t>3) трошкова набавке или израде софтверских решења, модула или платформи неопходних за функционисање дигиталног алата;</w:t>
      </w:r>
    </w:p>
    <w:p w14:paraId="05ADF7C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4) трошкова израде едукативног и информативног материјала, као и трошкова организовања обука за пољопривреднике и стручно особље које ће користити дигитални алат;</w:t>
      </w:r>
    </w:p>
    <w:p w14:paraId="7E06AE5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5) путних трошкова и трошкова превоза насталих приликом обиласка пољопривредних парцела, праћења стања усева и реализације активности на терену;</w:t>
      </w:r>
    </w:p>
    <w:p w14:paraId="615BEAE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6) трошкова техничке подршке и активности које се односе на праћење резултата, извештавање и унапређење функционалности дигиталног алата.</w:t>
      </w:r>
    </w:p>
    <w:p w14:paraId="1E50B68E"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6д</w:t>
      </w:r>
    </w:p>
    <w:p w14:paraId="1978365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Подстицаји из члана 2. тачка 9) овог правилника обухватају подршку за спровођење примењеног пројекта за унапређење квалитета засада воћа кроз производњу квалитетног садног материјала. </w:t>
      </w:r>
    </w:p>
    <w:p w14:paraId="33CA39EB"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Подстицаји из става 1. овог члана намењени су за покриће трошкова насталих спровођењем активности у оквиру примењеног пројекта, и то:</w:t>
      </w:r>
    </w:p>
    <w:p w14:paraId="701CC5A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трошкова за производњу садног материјала;</w:t>
      </w:r>
    </w:p>
    <w:p w14:paraId="1AD8B83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трошкова за дистрибуцију садног материјала;</w:t>
      </w:r>
    </w:p>
    <w:p w14:paraId="071F261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трошкова ангажовања лица на спровођењу и праћењу резултата пројекта;</w:t>
      </w:r>
    </w:p>
    <w:p w14:paraId="5105F91B"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4) путних трошкова и трошкова превоза насталих приликом спровођења активности;</w:t>
      </w:r>
    </w:p>
    <w:p w14:paraId="6D326117"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5) трошкови обуке произвођача.ˮ.</w:t>
      </w:r>
    </w:p>
    <w:p w14:paraId="40C398DB"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3.</w:t>
      </w:r>
    </w:p>
    <w:p w14:paraId="2ACBD9C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Члан 7. мења се и гласи:</w:t>
      </w:r>
    </w:p>
    <w:p w14:paraId="696FA247"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7.</w:t>
      </w:r>
    </w:p>
    <w:p w14:paraId="7AB173F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Право на подстицаје из члана 2. овог правилника остварује: </w:t>
      </w:r>
    </w:p>
    <w:p w14:paraId="04BA42A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1) правно лице уписано у Регистар научноистраживачких организација, у складу са законом којим се уређује научноистраживачка делатност; </w:t>
      </w:r>
    </w:p>
    <w:p w14:paraId="789B4FBD"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2) истраживачко развојни центар и иновациони центар уписан у регистар у складу са законом којим се уређује иновациона делатност; </w:t>
      </w:r>
    </w:p>
    <w:p w14:paraId="794EEE68"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3) акредитовани факултет; </w:t>
      </w:r>
    </w:p>
    <w:p w14:paraId="641D0995"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4) предузетник и правно лице који испуњавају услове за обављање саветодавних и стручних послова у пољопривреди, у складу са законом који уређује обављање саветодавних и стручних послова у пољопривреди; </w:t>
      </w:r>
    </w:p>
    <w:p w14:paraId="4905986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5) правно лице овлашћено за обуку и усавршавање пољопривредних саветодаваца и пољопривредних произвођача, у складу са законом који уређује обављање саветодавних и стручних послова у пољопривреди.ˮ.</w:t>
      </w:r>
    </w:p>
    <w:p w14:paraId="76B5A51A"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4.</w:t>
      </w:r>
    </w:p>
    <w:p w14:paraId="318BBAED"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После члана 7. додаје се члан 7а који гласи:</w:t>
      </w:r>
    </w:p>
    <w:p w14:paraId="588EDFE7"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7а</w:t>
      </w:r>
    </w:p>
    <w:p w14:paraId="7C307788"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Лице из члана 7. овог правилника остварује право на подстицаје из члана 2. тачка 1) овог правилника ако: </w:t>
      </w:r>
    </w:p>
    <w:p w14:paraId="6A669BB5"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1) се пројекат реализује на подручју Републике Србије; </w:t>
      </w:r>
    </w:p>
    <w:p w14:paraId="7D705FF8"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lastRenderedPageBreak/>
        <w:t xml:space="preserve">2) се пројекат не финансира из других извора јавног финансирања; </w:t>
      </w:r>
    </w:p>
    <w:p w14:paraId="5B1E988A"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је пројекат усклађен са стратешким документом у области пољопривреде и руралног развоја;</w:t>
      </w:r>
    </w:p>
    <w:p w14:paraId="3FCED241"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4) у складу са критеријумима за оцењивање пројеката постоје расположива средства за одобравање права на подстицаје у оквиру укупних средстава опредељених конкурсом, у складу са посебним прописом којим се уређује расподела подстицаја у пољопривреди и руралном развоју и овим правилником.ˮ.</w:t>
      </w:r>
    </w:p>
    <w:p w14:paraId="7C64E592"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5.</w:t>
      </w:r>
    </w:p>
    <w:p w14:paraId="45C809B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Члан 8. мења се и гласи:</w:t>
      </w:r>
    </w:p>
    <w:p w14:paraId="2628F504"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8.</w:t>
      </w:r>
    </w:p>
    <w:p w14:paraId="0C4C5DE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Лице из члана 7. овог правилника остварује право на подстицаје из члана 2. тачка 2) овог правилника и ако обавља прогнозно-извештајне послове.</w:t>
      </w:r>
    </w:p>
    <w:p w14:paraId="68BAB99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Лице из члана 7. овог правилника остварује право на подстицаје из члана 2. тачка 4) овог правилника и ако је овлашћено за одређивање основних параметара плодности земљишта у складу са прописом којим се уређују услови које треба да испуни привредно друштво или друго правно лице у погледу техничких и стручних капацитета за вршење контроле плодности, односно ако има закључен уговор о заједничкој реализацији пројекта са овлашћеном организацијом.</w:t>
      </w:r>
    </w:p>
    <w:p w14:paraId="5E6E8D7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Лице из члана 7. овог правилника остварује право на подстицај из члана 2. тачка 5) овог правилника и ако има закључен уговор о обављању саветодавних послова са надлежним органом. </w:t>
      </w:r>
    </w:p>
    <w:p w14:paraId="52356C70"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Лице из члана 7. овог правилника остварује право на подстицај из члана 2. тачка 6) овог правилника ако за партнерску организацију на примењеном пројекту има асоцијацију или савез сачињен од више од пет удружења произвођача вина или ракија.</w:t>
      </w:r>
    </w:p>
    <w:p w14:paraId="668DE19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Лице из члана 7. овог правилника остварује право на подстицаје из члана 2. тачка 7) овог правилника ако има закључен уговор о обављању саветодавних послова у пољопривреди са министарством надлежним за послове пољопривреде и на подручју на којем обавља саветодавне послове у пољопривреди је забележен највећи број временских непогода нарочито града, мраза, суше, поплава за период утврђен јавним позивом, а на основу извештаја посебне организације која обавља метеоролошке и хидролошке послове.</w:t>
      </w:r>
    </w:p>
    <w:p w14:paraId="6C148D6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Лице из члана 7. овог правилника остварује право на подстицаје из члана 2. тачка 8) овог правилника ако има уговор о коришћењу пољопривредног земљишта у државној својини у складу са законом којим се уређује пољопривредно земљиште.</w:t>
      </w:r>
    </w:p>
    <w:p w14:paraId="6B81E56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Лице из члана 7. овог правилника остварује право на подстицај из члана 2. тачка 9) овог правилника ако има регистровану сопствену производњу садног материјала у складу са законом којим се уређује семе и садни материјал.</w:t>
      </w:r>
    </w:p>
    <w:p w14:paraId="7149E4B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Право на подстицаје из члана 2. тач. 2)–9) овог правилника лице из ст. 1–7. овог члана остварује ако:</w:t>
      </w:r>
    </w:p>
    <w:p w14:paraId="3AD789D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се пројекат не финансира из других извора јавног финансирања;</w:t>
      </w:r>
    </w:p>
    <w:p w14:paraId="79D086D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по редоследу подношења захтева постоје расположива средства за одобравање права на подстицаје у оквиру расположивих средстава опредељених јавним позивом, у складу са посебним прописом којим се уређује расподела подстицаја у пољопривреди и руралном развоју и овим правилником.ˮ.</w:t>
      </w:r>
    </w:p>
    <w:p w14:paraId="4FD323EE"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6.</w:t>
      </w:r>
    </w:p>
    <w:p w14:paraId="7216324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члану 10. став 1. после речи: „овог правилникаˮ додају се запета и речи: „које испуњава услове из члана 7а овог правилника,ˮ.</w:t>
      </w:r>
    </w:p>
    <w:p w14:paraId="5894DA2A"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7.</w:t>
      </w:r>
    </w:p>
    <w:p w14:paraId="6182529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lastRenderedPageBreak/>
        <w:t>У члану 12. ст. 1. и 3. речи: „тач. 2)–4) овог правилникаˮ замењују се речима: „тач. 2)–9) овог правилникаˮ.</w:t>
      </w:r>
    </w:p>
    <w:p w14:paraId="5FA7B383"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8.</w:t>
      </w:r>
    </w:p>
    <w:p w14:paraId="3F9E9310"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члану 13. ст. 1. и 2. речи: „члана 8. став 1. овог правилникаˮ замењују се речима: „члана 7. овог правилникаˮ.</w:t>
      </w:r>
    </w:p>
    <w:p w14:paraId="417CAAEC"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9.</w:t>
      </w:r>
    </w:p>
    <w:p w14:paraId="66B5FEF7"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члану 14. став 1. речи: „члана 8. овог правилникаˮ замењују се речима: „члана 7. овог правилника, које испуњава услове из члана 8. овог правилникаˮ, а речи: „тач. 2)–4) овог правилникаˮ замењују се речима: „тач. 2)–9) овог правилникаˮ.</w:t>
      </w:r>
    </w:p>
    <w:p w14:paraId="6F0344C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ставу 3. тачка 1) речи: „тач. 2)–4) овог правилникаˮ замењују се речима: „тач. 2)–9) овог правилникаˮ.</w:t>
      </w:r>
    </w:p>
    <w:p w14:paraId="6B71D06B"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10.</w:t>
      </w:r>
    </w:p>
    <w:p w14:paraId="08558226"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 xml:space="preserve">У члану 15. став 2. тач. 1) и 2) речи: „став 3. овог правилникаˮ замењују се речима: „став 2. овог правилникаˮ. </w:t>
      </w:r>
    </w:p>
    <w:p w14:paraId="536EA73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После става 2. додају се нови ст. 3–7. који гласе:</w:t>
      </w:r>
    </w:p>
    <w:p w14:paraId="5712111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„Уз електронски образац захтева из члана 14. овог правилника, за остваривање права на подстицаје из члана 2. тачка 5) овог правилника, прилаже се у електронској форми, непосредно у оквиру софтверског решења еАграр пројекат, који нарочито садржи:</w:t>
      </w:r>
    </w:p>
    <w:p w14:paraId="6B279CD0"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план активности;</w:t>
      </w:r>
    </w:p>
    <w:p w14:paraId="69B7CD7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план трошкова насталих реализацијом пројекта.</w:t>
      </w:r>
    </w:p>
    <w:p w14:paraId="4B537DB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Уз електронски образац захтева из члана 14. овог правилника, за остваривање права на подстицаје из члана 2. тачка 6) овог правилника, прилаже се у електронској форми, непосредно у оквиру софтверског решења еАграр пројекат, који нарочито садржи:</w:t>
      </w:r>
    </w:p>
    <w:p w14:paraId="5D0BBE7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план активности;</w:t>
      </w:r>
    </w:p>
    <w:p w14:paraId="26977A6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план трошкова насталих реализацијом пројекта;</w:t>
      </w:r>
    </w:p>
    <w:p w14:paraId="1C40B09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копија  уговора о пословно-техничкој сарадњи закљученог са партнерском организацијом.</w:t>
      </w:r>
    </w:p>
    <w:p w14:paraId="78C2860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Уз електронски образац захтева из члана 14. овог правилника, за остваривање права на подстицаје из члана 2. тачка 7) овог правилника, прилаже се у електронској форми, непосредно у оквиру софтверског решења еАграр пројекат, који нарочито садржи:</w:t>
      </w:r>
    </w:p>
    <w:p w14:paraId="599C0B0A"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план активности;</w:t>
      </w:r>
    </w:p>
    <w:p w14:paraId="5260527A"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план трошкова насталих реализацијом пројекта.</w:t>
      </w:r>
    </w:p>
    <w:p w14:paraId="5448F5F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Уз електронски образац захтева из члана 14. овог правилника, за остваривање права на подстицаје из члана 2. тачка 8) овог правилника, прилаже се у електронској форми, непосредно у оквиру софтверског решења еАграр пројекат, који нарочито садржи:</w:t>
      </w:r>
    </w:p>
    <w:p w14:paraId="0E1141A1"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1) план активности;</w:t>
      </w:r>
    </w:p>
    <w:p w14:paraId="470F6DB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план трошкова насталих реализацијом пројекта;</w:t>
      </w:r>
    </w:p>
    <w:p w14:paraId="35F1EAF7"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копију уговора о коришћењу пољопривредног земљишта у државној својини.</w:t>
      </w:r>
    </w:p>
    <w:p w14:paraId="1CCFD083"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Уз електронски образац захтева из члана 14. овог правилника, за остваривање права на подстицаје из члана 2. тачка 9) овог правилника, прилаже се у електронској форми, непосредно у оквиру софтверског решења еАграр пројекат, који нарочито садржи:</w:t>
      </w:r>
    </w:p>
    <w:p w14:paraId="6B7EEFB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lastRenderedPageBreak/>
        <w:t>1) план активности;</w:t>
      </w:r>
    </w:p>
    <w:p w14:paraId="7FBEBC7B"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2) план трошкова насталих реализацијом пројекта;</w:t>
      </w:r>
    </w:p>
    <w:p w14:paraId="5351B0B2"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3) решење о регистрацији.ˮ.</w:t>
      </w:r>
    </w:p>
    <w:p w14:paraId="7FF479C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досадашњем ставу 3. који постаје став 8. речи: „ст. 1 и 2. овог чланаˮ замењују се речима: „ст. 1–7. овог чланаˮ.</w:t>
      </w:r>
    </w:p>
    <w:p w14:paraId="60F17ED8"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досадашњем ставу 4. који постаје став 9. речи: „члана 8. ст.1–3. овог правилникаˮ замењују се речима: „члана 7. и члана 8. ст. 1–7. овог правилникаˮ.</w:t>
      </w:r>
    </w:p>
    <w:p w14:paraId="2B9C0880"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11.</w:t>
      </w:r>
    </w:p>
    <w:p w14:paraId="1BFEDCC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члану 22. став 3. тачка 1) речи: „члана 8. ст. 1–3. овог правилникаˮ замењују се речима: „члана 7. и члана 8. ст. 1–7. овог правилникаˮ.</w:t>
      </w:r>
    </w:p>
    <w:p w14:paraId="1B68CD09"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12.</w:t>
      </w:r>
    </w:p>
    <w:p w14:paraId="1E8E86B9"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члану 24. став 2. речи: „члана 2. тач. 2)–4) овог правилникаˮ замењују се речима: „члана 2. тач. 2)–9) овог правилникаˮ.</w:t>
      </w:r>
    </w:p>
    <w:p w14:paraId="5CD32060"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13.</w:t>
      </w:r>
    </w:p>
    <w:p w14:paraId="2A8DF36B"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У члану 27. после става 5. додају се ст. 6–10, који гласе:</w:t>
      </w:r>
    </w:p>
    <w:p w14:paraId="22C022F8"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„За подстицаје из члана 2. тачка 5) овог правилника остварује се право на коришћење средстава у износу до 50.000.000 динара по кориснику подстицаја.</w:t>
      </w:r>
    </w:p>
    <w:p w14:paraId="400A486E"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За подстицаје из члана 2. тачка 6) овог правилника остварује се право на коришћење средстава у износу до 10.000.000 динара по кориснику подстицаја.</w:t>
      </w:r>
    </w:p>
    <w:p w14:paraId="6589709C"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За подстицаје из члана 2. тачка 7) овог правилника остварује се право на коришћење средстава у износу до 15.000.000 динара по кориснику подстицаја.</w:t>
      </w:r>
    </w:p>
    <w:p w14:paraId="64B209E7"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За подстицаје из члана 2. тачка 8) овог правилника остварује се право на коришћење средстава у износу до 15.000.000 динара по кориснику подстицаја.</w:t>
      </w:r>
    </w:p>
    <w:p w14:paraId="1D32DF14"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За подстицаје из члана 2. тачка 9) овог правилника остварује се право на коришћење средстава у износу до 15.000.000 динара по кориснику подстицаја.ˮ.</w:t>
      </w:r>
    </w:p>
    <w:p w14:paraId="43A4B4EB" w14:textId="77777777" w:rsidR="00ED7F84" w:rsidRPr="00AB74B9" w:rsidRDefault="0076677A">
      <w:pPr>
        <w:spacing w:line="210" w:lineRule="atLeast"/>
        <w:jc w:val="center"/>
        <w:rPr>
          <w:rFonts w:ascii="Times New Roman" w:hAnsi="Times New Roman" w:cs="Times New Roman"/>
        </w:rPr>
      </w:pPr>
      <w:r w:rsidRPr="00AB74B9">
        <w:rPr>
          <w:rFonts w:ascii="Times New Roman" w:eastAsia="Verdana" w:hAnsi="Times New Roman" w:cs="Times New Roman"/>
        </w:rPr>
        <w:t>Члан 14.</w:t>
      </w:r>
    </w:p>
    <w:p w14:paraId="20BD6D1F" w14:textId="77777777" w:rsidR="00ED7F84" w:rsidRPr="00AB74B9" w:rsidRDefault="0076677A">
      <w:pPr>
        <w:spacing w:line="210" w:lineRule="atLeast"/>
        <w:rPr>
          <w:rFonts w:ascii="Times New Roman" w:hAnsi="Times New Roman" w:cs="Times New Roman"/>
        </w:rPr>
      </w:pPr>
      <w:r w:rsidRPr="00AB74B9">
        <w:rPr>
          <w:rFonts w:ascii="Times New Roman" w:eastAsia="Verdana" w:hAnsi="Times New Roman" w:cs="Times New Roman"/>
        </w:rPr>
        <w:t>Овај правилник ступа на снагу наредног дана од дана објављивања у „Службеном гласнику Републике Србијеˮ.</w:t>
      </w:r>
    </w:p>
    <w:p w14:paraId="1E0FF842" w14:textId="77777777" w:rsidR="00ED7F84" w:rsidRPr="00AB74B9" w:rsidRDefault="0076677A">
      <w:pPr>
        <w:spacing w:line="210" w:lineRule="atLeast"/>
        <w:jc w:val="right"/>
        <w:rPr>
          <w:rFonts w:ascii="Times New Roman" w:hAnsi="Times New Roman" w:cs="Times New Roman"/>
        </w:rPr>
      </w:pPr>
      <w:r w:rsidRPr="00AB74B9">
        <w:rPr>
          <w:rFonts w:ascii="Times New Roman" w:eastAsia="Verdana" w:hAnsi="Times New Roman" w:cs="Times New Roman"/>
        </w:rPr>
        <w:t>Број 004667565 2025 14840 007 001 012 001</w:t>
      </w:r>
    </w:p>
    <w:p w14:paraId="65B3C614" w14:textId="77777777" w:rsidR="00ED7F84" w:rsidRPr="00AB74B9" w:rsidRDefault="0076677A">
      <w:pPr>
        <w:spacing w:line="210" w:lineRule="atLeast"/>
        <w:jc w:val="right"/>
        <w:rPr>
          <w:rFonts w:ascii="Times New Roman" w:hAnsi="Times New Roman" w:cs="Times New Roman"/>
        </w:rPr>
      </w:pPr>
      <w:r w:rsidRPr="00AB74B9">
        <w:rPr>
          <w:rFonts w:ascii="Times New Roman" w:eastAsia="Verdana" w:hAnsi="Times New Roman" w:cs="Times New Roman"/>
        </w:rPr>
        <w:t>У Београду, 21. новембра 2025. године</w:t>
      </w:r>
    </w:p>
    <w:p w14:paraId="3CC2DFC2" w14:textId="77777777" w:rsidR="00ED7F84" w:rsidRPr="00AB74B9" w:rsidRDefault="0076677A">
      <w:pPr>
        <w:spacing w:line="210" w:lineRule="atLeast"/>
        <w:jc w:val="right"/>
        <w:rPr>
          <w:rFonts w:ascii="Times New Roman" w:hAnsi="Times New Roman" w:cs="Times New Roman"/>
        </w:rPr>
      </w:pPr>
      <w:r w:rsidRPr="00AB74B9">
        <w:rPr>
          <w:rFonts w:ascii="Times New Roman" w:eastAsia="Verdana" w:hAnsi="Times New Roman" w:cs="Times New Roman"/>
        </w:rPr>
        <w:t>Министар,</w:t>
      </w:r>
    </w:p>
    <w:p w14:paraId="1B0EDDEF" w14:textId="77777777" w:rsidR="00ED7F84" w:rsidRPr="00AB74B9" w:rsidRDefault="0076677A">
      <w:pPr>
        <w:spacing w:line="210" w:lineRule="atLeast"/>
        <w:jc w:val="right"/>
        <w:rPr>
          <w:rFonts w:ascii="Times New Roman" w:hAnsi="Times New Roman" w:cs="Times New Roman"/>
        </w:rPr>
      </w:pPr>
      <w:r w:rsidRPr="00AB74B9">
        <w:rPr>
          <w:rFonts w:ascii="Times New Roman" w:eastAsia="Verdana" w:hAnsi="Times New Roman" w:cs="Times New Roman"/>
        </w:rPr>
        <w:t xml:space="preserve">проф. др </w:t>
      </w:r>
      <w:r w:rsidRPr="00AB74B9">
        <w:rPr>
          <w:rFonts w:ascii="Times New Roman" w:eastAsia="Verdana" w:hAnsi="Times New Roman" w:cs="Times New Roman"/>
          <w:b/>
        </w:rPr>
        <w:t xml:space="preserve">Драган Гламочић, </w:t>
      </w:r>
      <w:r w:rsidRPr="00AB74B9">
        <w:rPr>
          <w:rFonts w:ascii="Times New Roman" w:eastAsia="Verdana" w:hAnsi="Times New Roman" w:cs="Times New Roman"/>
        </w:rPr>
        <w:t>с.р.</w:t>
      </w:r>
    </w:p>
    <w:sectPr w:rsidR="00ED7F84" w:rsidRPr="00AB74B9" w:rsidSect="00AB74B9">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4"/>
    <w:rsid w:val="0076677A"/>
    <w:rsid w:val="00AB74B9"/>
    <w:rsid w:val="00ED7F8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49D6"/>
  <w15:docId w15:val="{F3C813D4-E5CC-4203-9577-1B04986B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2259</Words>
  <Characters>12746</Characters>
  <Application>Microsoft Office Word</Application>
  <DocSecurity>0</DocSecurity>
  <Lines>245</Lines>
  <Paragraphs>110</Paragraphs>
  <ScaleCrop>false</ScaleCrop>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Grubač</dc:creator>
  <cp:lastModifiedBy>Aleksandra Bačević</cp:lastModifiedBy>
  <cp:revision>2</cp:revision>
  <dcterms:created xsi:type="dcterms:W3CDTF">2025-11-24T13:40:00Z</dcterms:created>
  <dcterms:modified xsi:type="dcterms:W3CDTF">2025-11-24T13:40:00Z</dcterms:modified>
</cp:coreProperties>
</file>