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EB2D" w14:textId="00E00E80" w:rsidR="006C34DF" w:rsidRPr="005616DF" w:rsidRDefault="009D1820">
      <w:pPr>
        <w:spacing w:after="150"/>
        <w:rPr>
          <w:rFonts w:ascii="Times New Roman" w:hAnsi="Times New Roman" w:cs="Times New Roman"/>
        </w:rPr>
      </w:pPr>
      <w:r>
        <w:rPr>
          <w:rFonts w:ascii="Arial"/>
          <w:color w:val="000000"/>
        </w:rPr>
        <w:t>﻿</w:t>
      </w:r>
      <w:r>
        <w:t xml:space="preserve"> </w:t>
      </w:r>
    </w:p>
    <w:p w14:paraId="4DE75CBE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гласник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616DF">
        <w:rPr>
          <w:rFonts w:ascii="Times New Roman" w:hAnsi="Times New Roman" w:cs="Times New Roman"/>
          <w:color w:val="000000"/>
        </w:rPr>
        <w:t>бр</w:t>
      </w:r>
      <w:proofErr w:type="spellEnd"/>
      <w:r w:rsidRPr="005616DF">
        <w:rPr>
          <w:rFonts w:ascii="Times New Roman" w:hAnsi="Times New Roman" w:cs="Times New Roman"/>
          <w:color w:val="000000"/>
        </w:rPr>
        <w:t>. 10/13, 142/14, 103/15, 101/16 и 35/23),</w:t>
      </w:r>
    </w:p>
    <w:p w14:paraId="3FDDC95A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3A8263DA" w14:textId="77777777" w:rsidR="006C34DF" w:rsidRPr="005616DF" w:rsidRDefault="009D1820">
      <w:pPr>
        <w:spacing w:after="225"/>
        <w:jc w:val="center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b/>
          <w:color w:val="000000"/>
        </w:rPr>
        <w:t>ПРАВИЛНИК</w:t>
      </w:r>
    </w:p>
    <w:p w14:paraId="373D7A16" w14:textId="2E98FD99" w:rsidR="006C34DF" w:rsidRPr="005616DF" w:rsidRDefault="009D1820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5616DF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физичку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имовину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подршку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вишегодишњих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хмеља</w:t>
      </w:r>
      <w:proofErr w:type="spellEnd"/>
    </w:p>
    <w:p w14:paraId="55081ECD" w14:textId="4E96E241" w:rsidR="009D1820" w:rsidRPr="005616DF" w:rsidRDefault="009D1820">
      <w:pPr>
        <w:spacing w:after="150"/>
        <w:jc w:val="center"/>
        <w:rPr>
          <w:rFonts w:ascii="Times New Roman" w:hAnsi="Times New Roman" w:cs="Times New Roman"/>
          <w:bCs/>
          <w:i/>
          <w:iCs/>
          <w:lang w:val="sr-Cyrl-RS"/>
        </w:rPr>
      </w:pPr>
      <w:r w:rsidRPr="005616DF">
        <w:rPr>
          <w:rFonts w:ascii="Times New Roman" w:hAnsi="Times New Roman" w:cs="Times New Roman"/>
          <w:b/>
          <w:color w:val="000000"/>
        </w:rPr>
        <w:t>-</w:t>
      </w:r>
      <w:r w:rsidRPr="005616D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Cyrl-RS"/>
        </w:rPr>
        <w:t>објављен у Службеном гласнику 58/2023 од 14.07.2023-</w:t>
      </w:r>
    </w:p>
    <w:p w14:paraId="4C817A4E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>I. УВОДНЕ ОДРЕДБЕ</w:t>
      </w:r>
    </w:p>
    <w:p w14:paraId="1E3DD3C9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уређења</w:t>
      </w:r>
      <w:proofErr w:type="spellEnd"/>
    </w:p>
    <w:p w14:paraId="44F28A81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</w:t>
      </w:r>
    </w:p>
    <w:p w14:paraId="27B8517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ближе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физичку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имовину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максимални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поједине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мере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51999C4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Значење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појмова</w:t>
      </w:r>
      <w:proofErr w:type="spellEnd"/>
    </w:p>
    <w:p w14:paraId="222CF11C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2.</w:t>
      </w:r>
    </w:p>
    <w:p w14:paraId="312A912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Поједини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изрази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употребљени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следећа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значења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490F075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повезана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супружници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ванбрачни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партнери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крвни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сродници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линији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крвни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сродници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побочној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линији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закључно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трећим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степеном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сродства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сродници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тазбини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степена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сродства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усвојилац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усвојеник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између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управљачких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повезана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смислу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добит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609978B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површина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подигнутог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јесте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активног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укључени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мочварно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клизиште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акумулације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објекти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привременог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трајног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карактера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616DF">
        <w:rPr>
          <w:rFonts w:ascii="Times New Roman" w:hAnsi="Times New Roman" w:cs="Times New Roman"/>
          <w:color w:val="000000"/>
        </w:rPr>
        <w:t>израчунава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множењем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хранидбеним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простором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биљке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израженим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m²;</w:t>
      </w:r>
    </w:p>
    <w:p w14:paraId="7AB8AB5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реализација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јесте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радњи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везаних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робе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издавање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робу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преузимање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робе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потпуности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функцију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наменом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9931968" w14:textId="4D289D8A" w:rsidR="006C34DF" w:rsidRDefault="009D1820" w:rsidP="009D1820">
      <w:pPr>
        <w:spacing w:after="150"/>
        <w:jc w:val="both"/>
        <w:rPr>
          <w:rFonts w:ascii="Times New Roman" w:hAnsi="Times New Roman" w:cs="Times New Roman"/>
          <w:color w:val="000000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хранидбени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простор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биљке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јесте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изражена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m²,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заузима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коренов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систем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биљке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616DF">
        <w:rPr>
          <w:rFonts w:ascii="Times New Roman" w:hAnsi="Times New Roman" w:cs="Times New Roman"/>
          <w:color w:val="000000"/>
        </w:rPr>
        <w:t>израчунава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множењем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размака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између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редова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(m)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размаком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између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биљака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(m).</w:t>
      </w:r>
    </w:p>
    <w:p w14:paraId="2A3084FC" w14:textId="226A86D3" w:rsidR="005616DF" w:rsidRDefault="005616DF" w:rsidP="009D182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14:paraId="6BC306DF" w14:textId="33EB7806" w:rsidR="005616DF" w:rsidRDefault="005616DF" w:rsidP="009D1820">
      <w:pPr>
        <w:spacing w:after="150"/>
        <w:jc w:val="both"/>
        <w:rPr>
          <w:rFonts w:ascii="Times New Roman" w:hAnsi="Times New Roman" w:cs="Times New Roman"/>
          <w:color w:val="000000"/>
        </w:rPr>
      </w:pPr>
    </w:p>
    <w:p w14:paraId="6B683DF1" w14:textId="77777777" w:rsidR="005616DF" w:rsidRPr="005616DF" w:rsidRDefault="005616DF" w:rsidP="009D1820">
      <w:pPr>
        <w:spacing w:after="150"/>
        <w:jc w:val="both"/>
        <w:rPr>
          <w:rFonts w:ascii="Times New Roman" w:hAnsi="Times New Roman" w:cs="Times New Roman"/>
        </w:rPr>
      </w:pPr>
    </w:p>
    <w:p w14:paraId="3B425FC2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lastRenderedPageBreak/>
        <w:t>II. ВРСТЕ ПОДСТИЦАЈА И НЕПРИХВАТЉИВИ ТРОШКОВИ</w:t>
      </w:r>
    </w:p>
    <w:p w14:paraId="7C60590F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Врсте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</w:p>
    <w:p w14:paraId="17458E83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3.</w:t>
      </w:r>
    </w:p>
    <w:p w14:paraId="6278E705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обухватају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534383D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60255420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3192FF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припрему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јамића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припрема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сертификатом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класичне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банковима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852A0A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хемијску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анализу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препоруком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ђубрења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испитивање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механичког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анализа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>).</w:t>
      </w:r>
    </w:p>
    <w:p w14:paraId="24E9F2CC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хмеља</w:t>
      </w:r>
      <w:proofErr w:type="spellEnd"/>
    </w:p>
    <w:p w14:paraId="3E144491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4.</w:t>
      </w:r>
    </w:p>
    <w:p w14:paraId="2A973AF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обухватају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нових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савременом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технологијом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гајења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6BD7909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Прихватљиви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одобравају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купљених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плаћених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посађених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процентуалном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урачунатог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DD9124E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Прихватљиви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стандардних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стандардних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СА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стандардне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сертификованих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набављене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увезене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материјал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посађене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густини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хектару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примљене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проценту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површини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BA01179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српским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домаћим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одомаћеним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сортама</w:t>
      </w:r>
      <w:proofErr w:type="spellEnd"/>
    </w:p>
    <w:p w14:paraId="46CB58AD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5.</w:t>
      </w:r>
    </w:p>
    <w:p w14:paraId="0215B94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Ради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српским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домаћим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одомаћеним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увећавају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домаћим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кајсије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Новосадска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касноцветна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Новосадска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родна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НС-4, НС-6, </w:t>
      </w:r>
      <w:proofErr w:type="spellStart"/>
      <w:r w:rsidRPr="005616DF">
        <w:rPr>
          <w:rFonts w:ascii="Times New Roman" w:hAnsi="Times New Roman" w:cs="Times New Roman"/>
          <w:color w:val="000000"/>
        </w:rPr>
        <w:t>Буда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Ружа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вишње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Шумадинка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45 и </w:t>
      </w:r>
      <w:proofErr w:type="spellStart"/>
      <w:r w:rsidRPr="005616DF">
        <w:rPr>
          <w:rFonts w:ascii="Times New Roman" w:hAnsi="Times New Roman" w:cs="Times New Roman"/>
          <w:color w:val="000000"/>
        </w:rPr>
        <w:t>Леда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шљиве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Чачанска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најбоља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Чачанска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лепотица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Чачанска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Чачанска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родна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Чачански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шећер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Ваљевка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Јелица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Боранка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Милдора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Тимочанка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Крина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плава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Златка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Петра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Дивна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крушке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Јунско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злато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Јулијана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Анђелија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Иванино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злато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јабуке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Чачанска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Рани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делишес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Чадел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Гордана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Искра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Ивана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Семендриа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Јерина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брескве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Дора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Јулија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Лела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Маша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Ивана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Градина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Крупна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двородна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купине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Чачанска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бестрна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ораха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Шампион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Тиса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Бачка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Мире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одомаћеним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дуње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Лесковачка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Врањска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јабуке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Будимка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Колачара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шљиве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Ранка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Пожегача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); </w:t>
      </w:r>
      <w:proofErr w:type="spellStart"/>
      <w:r w:rsidRPr="005616DF">
        <w:rPr>
          <w:rFonts w:ascii="Times New Roman" w:hAnsi="Times New Roman" w:cs="Times New Roman"/>
          <w:color w:val="000000"/>
        </w:rPr>
        <w:t>вишње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Облачинска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ораха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селекција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5616DF">
        <w:rPr>
          <w:rFonts w:ascii="Times New Roman" w:hAnsi="Times New Roman" w:cs="Times New Roman"/>
          <w:color w:val="000000"/>
        </w:rPr>
        <w:t>дрена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домаћи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крупноплодна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селекција</w:t>
      </w:r>
      <w:proofErr w:type="spellEnd"/>
      <w:r w:rsidRPr="005616DF">
        <w:rPr>
          <w:rFonts w:ascii="Times New Roman" w:hAnsi="Times New Roman" w:cs="Times New Roman"/>
          <w:color w:val="000000"/>
        </w:rPr>
        <w:t>).</w:t>
      </w:r>
    </w:p>
    <w:p w14:paraId="167240EC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наслона</w:t>
      </w:r>
      <w:proofErr w:type="spellEnd"/>
    </w:p>
    <w:p w14:paraId="38316CF0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6.</w:t>
      </w:r>
    </w:p>
    <w:p w14:paraId="5B2CFD7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припадајућих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обухватају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нових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савременом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технологијом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гајења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дрвених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металних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пластичних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бетонских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стубова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жице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анкера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припадајућих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елемента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803B21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Прихватљиви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припадајућих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одобравају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купљених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плаћених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субјеката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увезених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процентуалном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урачунатог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0D4E91C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припрему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земљишта</w:t>
      </w:r>
      <w:proofErr w:type="spellEnd"/>
    </w:p>
    <w:p w14:paraId="32FFCA90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7.</w:t>
      </w:r>
    </w:p>
    <w:p w14:paraId="1A0AC5AA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припрему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обухватају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припреми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дрљање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тањирање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фрезирање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риголовање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дубока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минималном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дубином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0,6 m (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песковитом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риголовање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минималном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дубином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плитка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0,3 m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јагодастих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класичан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банковима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гредица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јамића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A4DCBF2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Прихватљиви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припреме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одобравају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припрему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механизацијом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субјеката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процентуалном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урачунатог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агротехничке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Прилогу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5616DF">
        <w:rPr>
          <w:rFonts w:ascii="Times New Roman" w:hAnsi="Times New Roman" w:cs="Times New Roman"/>
          <w:color w:val="000000"/>
        </w:rPr>
        <w:t>Табела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агротехничких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тржишним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хектару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комаду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овај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чини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његов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595DDCE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класичне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банковима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обухвата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сертификатом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одобравају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припрему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процентуалном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урачунатог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16AE7F9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анализу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земљишта</w:t>
      </w:r>
      <w:proofErr w:type="spellEnd"/>
    </w:p>
    <w:p w14:paraId="5D5227E0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8.</w:t>
      </w:r>
    </w:p>
    <w:p w14:paraId="33D0B63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анализу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обухватају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припреми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хемијске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анализе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препоруком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ђубрења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испитивање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механичког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акредитованих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субјеката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лабораторијских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анализа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одобравају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анализу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процентуалном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урачунатог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8EAF66E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Неприхватљиви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трошкови</w:t>
      </w:r>
      <w:proofErr w:type="spellEnd"/>
    </w:p>
    <w:p w14:paraId="18FCB860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9.</w:t>
      </w:r>
    </w:p>
    <w:p w14:paraId="3239E942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надокнађују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72B64D29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укључујући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56BB02F9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царинске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увозне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остале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административне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таксе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накнада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сагласности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државних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институција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предузећа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5F6DE5A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провизије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јемства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слично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60FC6F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превоза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монтаже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оперативни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76505A93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куповине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03AFB4BD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куповине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половне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опреме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механизације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06B5698A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5616DF">
        <w:rPr>
          <w:rFonts w:ascii="Times New Roman" w:hAnsi="Times New Roman" w:cs="Times New Roman"/>
          <w:color w:val="000000"/>
        </w:rPr>
        <w:t>допринос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натури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сопствени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материјал</w:t>
      </w:r>
      <w:proofErr w:type="spellEnd"/>
      <w:r w:rsidRPr="005616DF">
        <w:rPr>
          <w:rFonts w:ascii="Times New Roman" w:hAnsi="Times New Roman" w:cs="Times New Roman"/>
          <w:color w:val="000000"/>
        </w:rPr>
        <w:t>);</w:t>
      </w:r>
    </w:p>
    <w:p w14:paraId="789E936B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лизинга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цесије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компензације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асигнације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представља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пребијања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дугова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68A6A3A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>III. УСЛОВИ ЗА ОСТВАРИВАЊЕ ПРАВА НА ПОДСТИЦАЈЕ</w:t>
      </w:r>
    </w:p>
    <w:p w14:paraId="371A24BD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Општи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посебни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услови</w:t>
      </w:r>
      <w:proofErr w:type="spellEnd"/>
    </w:p>
    <w:p w14:paraId="01002F45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10.</w:t>
      </w:r>
    </w:p>
    <w:p w14:paraId="7F221DEA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испуњени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5AE28E85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донације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кредитна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0827B14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евидентираних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доспелих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неизмирених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дуговања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субвенција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кредита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68B88448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измирио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доспеле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прихода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09B7AC14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lastRenderedPageBreak/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представљају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повезана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665140A6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редоследу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расположива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одобравање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оквиру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укупних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опредељених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позивом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62A01C9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испуњени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погледу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249361ED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52075C6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времена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реализације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времена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0952FB02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F74398B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површине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38D05DB7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посађених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густина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садње</w:t>
      </w:r>
      <w:proofErr w:type="spellEnd"/>
      <w:r w:rsidRPr="005616DF">
        <w:rPr>
          <w:rFonts w:ascii="Times New Roman" w:hAnsi="Times New Roman" w:cs="Times New Roman"/>
          <w:color w:val="000000"/>
        </w:rPr>
        <w:t>);</w:t>
      </w:r>
    </w:p>
    <w:p w14:paraId="2CA8159D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примљених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здравствене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исправности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7520399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погледу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остварују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</w:p>
    <w:p w14:paraId="3060DD13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11.</w:t>
      </w:r>
    </w:p>
    <w:p w14:paraId="0F0DE93D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23B979A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физичко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комерцијалног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D7C5010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518343A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4C987AA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друштво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10A6FE0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земљорадничка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задруга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716B97A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616DF">
        <w:rPr>
          <w:rFonts w:ascii="Times New Roman" w:hAnsi="Times New Roman" w:cs="Times New Roman"/>
          <w:color w:val="000000"/>
        </w:rPr>
        <w:t>задужбина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47A59DF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школа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37AAAEEE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5616DF">
        <w:rPr>
          <w:rFonts w:ascii="Times New Roman" w:hAnsi="Times New Roman" w:cs="Times New Roman"/>
          <w:color w:val="000000"/>
        </w:rPr>
        <w:t>научноистраживачка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2A05A6E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5616DF">
        <w:rPr>
          <w:rFonts w:ascii="Times New Roman" w:hAnsi="Times New Roman" w:cs="Times New Roman"/>
          <w:color w:val="000000"/>
        </w:rPr>
        <w:t>манастир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црква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5E06F2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7E148AA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активном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статусу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7517E29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текућу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промена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обнова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пасиван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статус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05C7E1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2) и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подтач</w:t>
      </w:r>
      <w:proofErr w:type="spellEnd"/>
      <w:r w:rsidRPr="005616DF">
        <w:rPr>
          <w:rFonts w:ascii="Times New Roman" w:hAnsi="Times New Roman" w:cs="Times New Roman"/>
          <w:color w:val="000000"/>
        </w:rPr>
        <w:t>. (1)</w:t>
      </w:r>
      <w:proofErr w:type="gramStart"/>
      <w:r w:rsidRPr="005616DF">
        <w:rPr>
          <w:rFonts w:ascii="Times New Roman" w:hAnsi="Times New Roman" w:cs="Times New Roman"/>
          <w:color w:val="000000"/>
        </w:rPr>
        <w:t>–(</w:t>
      </w:r>
      <w:proofErr w:type="gramEnd"/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субјеката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Агенцији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регистре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675D2977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lastRenderedPageBreak/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изречена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правоснажна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судска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забране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обављања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7C0CAB85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осуђивано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због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преступа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0D1CFFBC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ликвидације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стечаја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престао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услед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судске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обавезујућом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снагом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C8B90D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Средња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школа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(4)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01411F4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акту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мрежи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средњих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школа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система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образовања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васпитања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3A5A2BC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верификацији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образовања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образовни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профил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подручју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прераде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хране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04E5F9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Научноистраживачка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(5)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научноистраживачких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научноистраживачка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9B5F12E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Манастир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црква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(6)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цркава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верских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заједница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0C06800" w14:textId="77777777" w:rsidR="005616DF" w:rsidRDefault="005616DF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63F25CEE" w14:textId="191D367F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погледу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времена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реализације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времена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засада</w:t>
      </w:r>
      <w:proofErr w:type="spellEnd"/>
    </w:p>
    <w:p w14:paraId="63E413E4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12.</w:t>
      </w:r>
    </w:p>
    <w:p w14:paraId="3FDBEE37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734E8C65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потпуности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реализована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периоду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јануара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претходне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текућој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календарској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години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276CE56C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нови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четвртом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кварталу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претходне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кварталу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текуће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7AA14E9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припадајућих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првој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потпуности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реализује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5616DF">
        <w:rPr>
          <w:rFonts w:ascii="Times New Roman" w:hAnsi="Times New Roman" w:cs="Times New Roman"/>
          <w:color w:val="000000"/>
        </w:rPr>
        <w:t>јуна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наредне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2F0FCB8" w14:textId="77777777" w:rsidR="006C34DF" w:rsidRPr="005616DF" w:rsidRDefault="009D1820" w:rsidP="005616D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5616DF">
        <w:rPr>
          <w:rFonts w:ascii="Times New Roman" w:hAnsi="Times New Roman" w:cs="Times New Roman"/>
          <w:color w:val="000000"/>
        </w:rPr>
        <w:t>трећем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кварталу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текуће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21C0306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погледу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начина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засада</w:t>
      </w:r>
      <w:proofErr w:type="spellEnd"/>
    </w:p>
    <w:p w14:paraId="27ACD17A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13.</w:t>
      </w:r>
    </w:p>
    <w:p w14:paraId="2BECF60F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3CA874E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структури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биљне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пријављене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површине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културама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групе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VI –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грожђе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Шифарником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биљне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259927B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својини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уговора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уговора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закљученог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физичким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јединицом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локалне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црквом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манастиром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период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најмање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седам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период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најмање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рачунајући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с </w:t>
      </w:r>
      <w:proofErr w:type="spellStart"/>
      <w:r w:rsidRPr="005616DF">
        <w:rPr>
          <w:rFonts w:ascii="Times New Roman" w:hAnsi="Times New Roman" w:cs="Times New Roman"/>
          <w:color w:val="000000"/>
        </w:rPr>
        <w:t>тим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7F949B7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сусвојини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заједничкој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својини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писану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сагласност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сувласника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заједничара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оверену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031D5990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имати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терете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хипотеке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успостављене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кредита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8018C4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току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претходне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текуће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хемијска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анализа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препоруком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ђубрења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супстратом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0E705F8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дрљање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тањирање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фрезирање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риголовања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дубока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минималном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дубином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0,6 m (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песковитом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риголовање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минималном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дубином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плитка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0,3 m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јагодастих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80CE089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класични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банковима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сертификат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10EA73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систему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вертикалне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технологије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гајења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A327CD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систему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комбиноване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мешовите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густином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DED22FE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погледу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површине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засада</w:t>
      </w:r>
      <w:proofErr w:type="spellEnd"/>
    </w:p>
    <w:p w14:paraId="6D645C03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14.</w:t>
      </w:r>
    </w:p>
    <w:p w14:paraId="3E2AD4F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0C3863D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0,05 ha </w:t>
      </w:r>
      <w:proofErr w:type="spellStart"/>
      <w:r w:rsidRPr="005616DF">
        <w:rPr>
          <w:rFonts w:ascii="Times New Roman" w:hAnsi="Times New Roman" w:cs="Times New Roman"/>
          <w:color w:val="000000"/>
        </w:rPr>
        <w:t>до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 ha –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шумске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6A5B08B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0,1 ha </w:t>
      </w:r>
      <w:proofErr w:type="spellStart"/>
      <w:r w:rsidRPr="005616DF">
        <w:rPr>
          <w:rFonts w:ascii="Times New Roman" w:hAnsi="Times New Roman" w:cs="Times New Roman"/>
          <w:color w:val="000000"/>
        </w:rPr>
        <w:t>до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5 ha –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јагодастог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шумске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16A5DF9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0,2 ha </w:t>
      </w:r>
      <w:proofErr w:type="spellStart"/>
      <w:r w:rsidRPr="005616DF">
        <w:rPr>
          <w:rFonts w:ascii="Times New Roman" w:hAnsi="Times New Roman" w:cs="Times New Roman"/>
          <w:color w:val="000000"/>
        </w:rPr>
        <w:t>до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10 ha –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јабучастих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коштичавих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језграстих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осталих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дрвенастих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8A3FF3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више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али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морају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налазе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целину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68287B8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погледу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густине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садње</w:t>
      </w:r>
      <w:proofErr w:type="spellEnd"/>
    </w:p>
    <w:p w14:paraId="489D7429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15.</w:t>
      </w:r>
    </w:p>
    <w:p w14:paraId="5B7E2C5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погледу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густине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сваку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Прилогу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 –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Табела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густине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садње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прихватљивим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тржишним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трошковима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i/>
          <w:color w:val="000000"/>
        </w:rPr>
        <w:t>садници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Табела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овај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чини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његов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део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277476B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Услови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погледу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броја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примљених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сортне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здравствене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исправности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садница</w:t>
      </w:r>
      <w:proofErr w:type="spellEnd"/>
    </w:p>
    <w:p w14:paraId="04FB907E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16.</w:t>
      </w:r>
    </w:p>
    <w:p w14:paraId="41E2E33A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3833FD6A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примљено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најмање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90%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посађених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рачунајући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укупног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посађених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Табеле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3D8DA11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клонови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биља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признавање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биља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7D69405F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здравствено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исправне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9D780FC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>IV. НАЧИН ОСТВАРИВАЊА ПРАВА НА ПОДСТИЦАЈЕ</w:t>
      </w:r>
    </w:p>
    <w:p w14:paraId="6B7C22C7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Јавни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позив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подношење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захтева</w:t>
      </w:r>
      <w:proofErr w:type="spellEnd"/>
    </w:p>
    <w:p w14:paraId="144F2754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17.</w:t>
      </w:r>
    </w:p>
    <w:p w14:paraId="3BA47EE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аграрна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плаћања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позив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физичку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имовину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позив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огласној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табли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страници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0A474E0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Јавни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позив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садржи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висини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укупних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расположивих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позиву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позива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02487D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опредељује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позиву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оквиру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расположивих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опредељених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47D4F5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расписати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више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позива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току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65910C5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</w:p>
    <w:p w14:paraId="31E54BCE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18.</w:t>
      </w:r>
    </w:p>
    <w:p w14:paraId="4499E970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покреће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избором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попуњавањем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одговарајућег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обрасца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r w:rsidRPr="005616DF">
        <w:rPr>
          <w:rFonts w:ascii="Times New Roman" w:hAnsi="Times New Roman" w:cs="Times New Roman"/>
          <w:i/>
          <w:color w:val="000000"/>
        </w:rPr>
        <w:t>online</w:t>
      </w:r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форми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оквиру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потписује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шемом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високог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нивоа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F9D521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стaва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3163257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свим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3A1B37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омогућава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2D6E45D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треће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породице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сл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о </w:t>
      </w:r>
      <w:proofErr w:type="spellStart"/>
      <w:r w:rsidRPr="005616DF">
        <w:rPr>
          <w:rFonts w:ascii="Times New Roman" w:hAnsi="Times New Roman" w:cs="Times New Roman"/>
          <w:color w:val="000000"/>
        </w:rPr>
        <w:t>томе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приступ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могућ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пристанка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A79A3F0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обухвата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27932ACC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53DD8A4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категорију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форму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11.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750ED28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име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презиме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назив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54AEA3B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матични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грађана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(ЈМБГ),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матични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(МБ),</w:t>
      </w:r>
    </w:p>
    <w:p w14:paraId="4ACB58E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5616DF">
        <w:rPr>
          <w:rFonts w:ascii="Times New Roman" w:hAnsi="Times New Roman" w:cs="Times New Roman"/>
          <w:color w:val="000000"/>
        </w:rPr>
        <w:t>адресу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седишта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761E834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телефона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0BA0756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(6)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пошту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25C47BB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(7)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(БПГ),</w:t>
      </w:r>
    </w:p>
    <w:p w14:paraId="7DCB9F2E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(8)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07A6974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(ПИБ),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(ЈБКЈС),</w:t>
      </w:r>
    </w:p>
    <w:p w14:paraId="1D066A7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име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презиме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лицу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1A2F31B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матични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грађана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лицу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F94300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сваком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поједином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1304170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редни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1EF412C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месец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година</w:t>
      </w:r>
      <w:proofErr w:type="spellEnd"/>
      <w:r w:rsidRPr="005616DF">
        <w:rPr>
          <w:rFonts w:ascii="Times New Roman" w:hAnsi="Times New Roman" w:cs="Times New Roman"/>
          <w:color w:val="000000"/>
        </w:rPr>
        <w:t>),</w:t>
      </w:r>
    </w:p>
    <w:p w14:paraId="14812EB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3AE9F4D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округ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3C62346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локалне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1E80D63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насељено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место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4FA5E4E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lastRenderedPageBreak/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општина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2A4C2AB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парцеле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4710A24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парцеле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642E3CCE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5616DF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површина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активног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>),</w:t>
      </w:r>
    </w:p>
    <w:p w14:paraId="5CDFA1D2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0A4FE037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назив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врсте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3559592D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клон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3FBED9DB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подлога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17B87D7A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BB27FC6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реализованој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29DC893A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0C8935B0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опис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06DD5C9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датум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издавања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75358A1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5616DF">
        <w:rPr>
          <w:rFonts w:ascii="Times New Roman" w:hAnsi="Times New Roman" w:cs="Times New Roman"/>
          <w:color w:val="000000"/>
        </w:rPr>
        <w:t>назив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форма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седиште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21FF2C2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динарима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ПДВ-а;</w:t>
      </w:r>
    </w:p>
    <w:p w14:paraId="554ED7E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припадајућих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првој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4CBE523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опис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3C6443B9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датум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издавања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предрачуна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6D86D7D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616DF">
        <w:rPr>
          <w:rFonts w:ascii="Times New Roman" w:hAnsi="Times New Roman" w:cs="Times New Roman"/>
          <w:color w:val="000000"/>
        </w:rPr>
        <w:t>назив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форма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седиште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69131F7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динарима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ПДВ-а;</w:t>
      </w:r>
    </w:p>
    <w:p w14:paraId="1DAAA8F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кривичном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материјалном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одговорношћу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371FEC6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донације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кредитна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5EBE31B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нема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евидентираних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доспелих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неизмирених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дуговања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субвенција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кредита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4186400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измирио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доспеле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прихода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5654154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(4) </w:t>
      </w:r>
      <w:proofErr w:type="spellStart"/>
      <w:r w:rsidRPr="005616DF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представљају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повезана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72C032F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(5)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наведени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истинити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5270B54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lastRenderedPageBreak/>
        <w:t xml:space="preserve">6)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кривичном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материјалном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одговорношћу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току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претходне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текуће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48E6520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хемијска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анализа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препоруком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ђубрења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одговарајућу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46E4F6E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риголовање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дубока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јабучастих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коштичавих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језграстих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58E2115B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јагодасте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73C0A46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потпис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склaду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070D7A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обухвата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и:</w:t>
      </w:r>
    </w:p>
    <w:p w14:paraId="440E8E8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упознат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одредбом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гласник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РСˮ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бр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. 18/16, 95/18 – </w:t>
      </w:r>
      <w:proofErr w:type="spellStart"/>
      <w:r w:rsidRPr="005616DF">
        <w:rPr>
          <w:rFonts w:ascii="Times New Roman" w:hAnsi="Times New Roman" w:cs="Times New Roman"/>
          <w:color w:val="000000"/>
        </w:rPr>
        <w:t>аутентично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тумачење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2/23 – УС),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покреће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увид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изричито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року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сматрати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неуредним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увид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одлучивања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</w:p>
    <w:p w14:paraId="7D7E3E2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упознат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одредбом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покреће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увид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изричито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року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сматрати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неуредним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самостално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F238D6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садржи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чијим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избором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потврђује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изршио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попуњавање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1F5630B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Документација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прилаже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</w:p>
    <w:p w14:paraId="7DE56BBE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19.</w:t>
      </w:r>
    </w:p>
    <w:p w14:paraId="6563548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сагласан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увид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18.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прилаже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форми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оквиру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2EAFA13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исказана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јединична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коштања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ПДВ и </w:t>
      </w:r>
      <w:proofErr w:type="spellStart"/>
      <w:r w:rsidRPr="005616DF">
        <w:rPr>
          <w:rFonts w:ascii="Times New Roman" w:hAnsi="Times New Roman" w:cs="Times New Roman"/>
          <w:color w:val="000000"/>
        </w:rPr>
        <w:t>укупна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плаћених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фактуре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фактурисање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22C91F8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отпремница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издавања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отпремнице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отпремнице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отпремнице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учитана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систем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фактура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фактуре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међународног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товарног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директно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8CABE95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доказ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плаћању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34FE1360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потврде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извода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оверених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банке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123A1B0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потврде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међународне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трансакције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swift, </w:t>
      </w:r>
      <w:proofErr w:type="spellStart"/>
      <w:r w:rsidRPr="005616DF">
        <w:rPr>
          <w:rFonts w:ascii="Times New Roman" w:hAnsi="Times New Roman" w:cs="Times New Roman"/>
          <w:color w:val="000000"/>
        </w:rPr>
        <w:t>оверене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када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директно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5A2B842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616DF">
        <w:rPr>
          <w:rFonts w:ascii="Times New Roman" w:hAnsi="Times New Roman" w:cs="Times New Roman"/>
          <w:color w:val="000000"/>
        </w:rPr>
        <w:t>фискални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исечак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фискалног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фискализација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случају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физичко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плаћање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готовином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5279B73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царинске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директно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22778EA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размери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1:1.000, 1:2.500, 1:2.800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1:2.880 –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5FA8814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уговора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уговора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анекса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уговора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уговора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закљученог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закуподавцем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уступиоцем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физичким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јединицом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локалне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црквом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манастиром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период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најмање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седам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период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најмање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рачунајући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власник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уговор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анекс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уговора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наведеним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периодом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приложен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обнове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промене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5E75184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писане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сагласности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сувласника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заједничара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оверене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сувласник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заједничар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D31233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уговора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кредиту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терет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име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хипотеке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успостављене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кредита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7120395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друштво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земљорадничка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задруга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задужбина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потврда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Агенције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7C4481F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lastRenderedPageBreak/>
        <w:t xml:space="preserve">(1)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изречена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правноснажна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судска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забране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обављања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6B3AC5F5" w14:textId="77777777" w:rsidR="006C34DF" w:rsidRPr="005616DF" w:rsidRDefault="009D1820">
      <w:pPr>
        <w:spacing w:after="150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(2)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осуђиван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због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преступа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48C9312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(3)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ликвидације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стечаја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престао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услед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судске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обавезујућом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снагом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696E92D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10)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предрачуна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припадајућих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припадајућих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првој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години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203D90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изјаву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ће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самостално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а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18.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прилаже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форми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оквиру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78A9F81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очитана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биометријска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карта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породичног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2B9EC78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559124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. 1. и 2.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прилаже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језику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истовремено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прилаже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превод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српски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језик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овлашћеног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судског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преводиоца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51E38C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Дигитализацију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спровођења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и:</w:t>
      </w:r>
    </w:p>
    <w:p w14:paraId="3374289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саветодавне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лиценцу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саветодаваца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стручних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области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саветодавац</w:t>
      </w:r>
      <w:proofErr w:type="spellEnd"/>
      <w:r w:rsidRPr="005616DF">
        <w:rPr>
          <w:rFonts w:ascii="Times New Roman" w:hAnsi="Times New Roman" w:cs="Times New Roman"/>
          <w:color w:val="000000"/>
        </w:rPr>
        <w:t>);</w:t>
      </w:r>
    </w:p>
    <w:p w14:paraId="0A4618F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фитосанитарни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инспектор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3E37F1E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локалне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348EE2A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1FE5654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измиреним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доспелим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прихода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3E6BFC9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измиреним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доспелим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прихода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локалне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FC6E20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потврду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локалне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донације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BD951C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потврду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покрајинског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донације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пребивалиште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седиште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територији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аутономне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покрајине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7B23EE99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власништву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теретима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ограничењима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препис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успостављен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операт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препис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поседовног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листа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успостављен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нови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операт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књига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где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успостављен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непокретности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катастарске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парцеле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2C856E9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инвестиционој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сагласности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одобрењу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закупљеном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државној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својини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5EFD52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извода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субјеката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друштво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земљорадничка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задруга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задужбина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2CD0BAD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8)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мрежи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средњих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школа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верификацији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образовни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профил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подручју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прераде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издатих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образовања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школа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5E9BBD9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9)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научноистраживачких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научноистраживачка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научноистраживачка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7C61A2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10) </w:t>
      </w:r>
      <w:proofErr w:type="spellStart"/>
      <w:r w:rsidRPr="005616DF">
        <w:rPr>
          <w:rFonts w:ascii="Times New Roman" w:hAnsi="Times New Roman" w:cs="Times New Roman"/>
          <w:color w:val="000000"/>
        </w:rPr>
        <w:t>копију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упису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цркава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верских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заједница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црква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верска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заједница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5E56BFC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идентификација</w:t>
      </w:r>
      <w:proofErr w:type="spellEnd"/>
    </w:p>
    <w:p w14:paraId="6D6C7005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20.</w:t>
      </w:r>
    </w:p>
    <w:p w14:paraId="741268F9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Учесник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аутентикује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1520DB9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аутентикацију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учесника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3E5300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идентитета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учесника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општењу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оквиру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различитог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нивоа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налога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учеснику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додељен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порталу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A702A6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општењу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оквиру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идентитет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шеме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високог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нивоа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замењује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потпис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случају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средњег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нивоа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смислу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друкчије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C1776A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користећи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високог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нивоа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поузданости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квалификовани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сертификат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B2FB837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Регистрација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техничка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подршка</w:t>
      </w:r>
      <w:proofErr w:type="spellEnd"/>
    </w:p>
    <w:p w14:paraId="30BADDC3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21.</w:t>
      </w:r>
    </w:p>
    <w:p w14:paraId="0BDA5C2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Физичко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регистровано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30D331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Орган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пројектовање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усклађивање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функционисање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система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C6E79D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повуче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сагласност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брише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затвара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његов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налог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544D73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Након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обезбеђује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сандучића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D0135F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Учесник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пријављује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портал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налога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Портала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616DF">
        <w:rPr>
          <w:rFonts w:ascii="Times New Roman" w:hAnsi="Times New Roman" w:cs="Times New Roman"/>
          <w:color w:val="000000"/>
        </w:rPr>
        <w:t>даљем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тексту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Портал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еИД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представља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аутентикацију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пријаву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2802E9A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Регистрацију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учесник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Порталу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еИД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адреси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eid.gov.rs,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квалификованог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шалтеру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Регистрационог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издавање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параметара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активацију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мобилне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апликације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ConsentID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A88BD1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Техничку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вези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пружа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1ACBBBF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4F759B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саветодавац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703A5B0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овлашћено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локалне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самоуправе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пребивалишта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9C43F8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Ближа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техничка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упутства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корисничког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налога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систем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попуњавања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обрасца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пружања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техничке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објављују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огласној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табли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арарна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плаћања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Булевар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краља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Александра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84, 11000 </w:t>
      </w:r>
      <w:proofErr w:type="spellStart"/>
      <w:r w:rsidRPr="005616DF">
        <w:rPr>
          <w:rFonts w:ascii="Times New Roman" w:hAnsi="Times New Roman" w:cs="Times New Roman"/>
          <w:color w:val="000000"/>
        </w:rPr>
        <w:t>Београд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званичној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веб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презентацији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адреси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https://eagrar.gov.rs.</w:t>
      </w:r>
    </w:p>
    <w:p w14:paraId="20F63D27" w14:textId="77777777" w:rsidR="005616DF" w:rsidRDefault="005616DF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642D29B8" w14:textId="77777777" w:rsidR="005616DF" w:rsidRDefault="005616DF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118C763D" w14:textId="77777777" w:rsidR="005616DF" w:rsidRDefault="005616DF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32E0F159" w14:textId="77777777" w:rsidR="005616DF" w:rsidRDefault="005616DF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14:paraId="48C5888A" w14:textId="54A0AB85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Размена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докумената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поднесака</w:t>
      </w:r>
      <w:proofErr w:type="spellEnd"/>
    </w:p>
    <w:p w14:paraId="5D13EAF3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22.</w:t>
      </w:r>
    </w:p>
    <w:p w14:paraId="60295DC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Размена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садрже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тајне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означени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степеном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тајности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тајност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E0015B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Достављање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између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власти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поште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сервисне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магистрале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квалификоване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44D75E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вези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доносе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имаоци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овлашћења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форми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AB00A4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претходно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изворно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сачињен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папирној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форми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примерак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дигитализован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оверен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E8677C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потребе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спровођења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ималац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овлашћења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вршити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дигитализацију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потврђивање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истоветности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изворним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сачињеним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издао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7AE7D3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Овлашћени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дигитализацију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потврдило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истоветност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оригиналом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сачињеним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чува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изворни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C0671FB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Преузимање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података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регистара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облику</w:t>
      </w:r>
      <w:proofErr w:type="spellEnd"/>
    </w:p>
    <w:p w14:paraId="7E4FA390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23.</w:t>
      </w:r>
    </w:p>
    <w:p w14:paraId="5042D56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Ради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извршавања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преузима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вођење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установљене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означио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статусу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F01C7A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увид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њихово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преузимање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сервисне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магистрале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прихваћеног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шифарника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идентификатора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могу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упоредити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корисницима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матични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грађана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додељује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Централни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социјалног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осигураника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матични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идентификациони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25444F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сваког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увида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идентитету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овлашћеног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матични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грађана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лично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датуму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времену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приступа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скупу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приступало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5E619D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. 1−3.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врше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увид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прибављају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обрађују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уступају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достављају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податке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чињеницама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одлучивање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779EE74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Пријем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поднесака</w:t>
      </w:r>
      <w:proofErr w:type="spellEnd"/>
    </w:p>
    <w:p w14:paraId="6BBD8518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24.</w:t>
      </w:r>
    </w:p>
    <w:p w14:paraId="60A7E95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омогућава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обрасца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18.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оквиру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портала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канцеларијско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органа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државне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4AED58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Пријем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евидентира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писарници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24203EA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Потврда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пријему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шаље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одмах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садржи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обавештење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пријему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датум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напредни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печат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99D157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Време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одређено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квалификованим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временским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жигом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A4DD19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аутоматски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додељује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сваки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предузимају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доносе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566F949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Поред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аутоматски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додељеног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оквиру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додељивати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бројеве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ознаке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интерног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карактера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1A4E1F7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Обрада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захтева</w:t>
      </w:r>
      <w:proofErr w:type="spellEnd"/>
    </w:p>
    <w:p w14:paraId="7D7D8A88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25.</w:t>
      </w:r>
    </w:p>
    <w:p w14:paraId="5438806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Приликом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попуњен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приложена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уредна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унети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23.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6A22EE8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попуњен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приложена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уредна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унети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одговарају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подацима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23.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обавештава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неуредног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тај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то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року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бити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краћи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осам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обавештења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упозорење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последице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року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општи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6EE450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одбацује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5DDC34E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стране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63E75830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lastRenderedPageBreak/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року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одређеном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јавним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позивом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3D2F1F7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53D65BD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приложена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искључиво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гласи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618E118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начин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2242903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6) у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случајевима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EA3DF6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Након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административне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. 1. и 2.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инспектору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испуњености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терену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FBE668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Надлежнa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инспекцијa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прегледа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врши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увид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пореклу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здравственој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исправности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густину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примљених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сачињава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записник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прегледу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671446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административном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терену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доноси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отворен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пријављен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осим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припадајућих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првој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години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225A160F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наслоном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којих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наслони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нису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постављени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првој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години</w:t>
      </w:r>
      <w:proofErr w:type="spellEnd"/>
    </w:p>
    <w:p w14:paraId="750D13D7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26.</w:t>
      </w:r>
    </w:p>
    <w:p w14:paraId="11BF098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нису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првој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25.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припадајућих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неопходних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обавезује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најкасније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5616DF">
        <w:rPr>
          <w:rFonts w:ascii="Times New Roman" w:hAnsi="Times New Roman" w:cs="Times New Roman"/>
          <w:color w:val="000000"/>
        </w:rPr>
        <w:t>јуна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наредне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као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доказује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19.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тач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. 1)–3)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8DC710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року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губи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одобрени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25.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BE816B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Након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административне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надлежном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инспектору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испуњености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терену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поднела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1BC652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административном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провером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терену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прописане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доноси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отворен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пријављен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380D6E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истом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већем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предрачуна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25.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25.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0C0C73D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мањем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предрачуна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основу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утврђен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25.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6.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обрачун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исплату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процентуалном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достављеног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рачуна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EA843E7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Достављање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документа</w:t>
      </w:r>
      <w:proofErr w:type="spellEnd"/>
    </w:p>
    <w:p w14:paraId="4841DF77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27.</w:t>
      </w:r>
    </w:p>
    <w:p w14:paraId="2226BD7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Решење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закључак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обавештење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софтверског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решења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еАграр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33F1A8E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поступку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5616DF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6EA866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сноси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5616DF">
        <w:rPr>
          <w:rFonts w:ascii="Times New Roman" w:hAnsi="Times New Roman" w:cs="Times New Roman"/>
          <w:color w:val="000000"/>
        </w:rPr>
        <w:t>папирном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облику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E3264C6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Електронско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достављање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сандучић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путем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услуге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поверења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електронском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пословању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E50CD7A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Спровођење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агротехничких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мера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наменско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коришћење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</w:p>
    <w:p w14:paraId="7CE7C172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28.</w:t>
      </w:r>
    </w:p>
    <w:p w14:paraId="61F523A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спроводи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агротехничке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мере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616DF">
        <w:rPr>
          <w:rFonts w:ascii="Times New Roman" w:hAnsi="Times New Roman" w:cs="Times New Roman"/>
          <w:color w:val="000000"/>
        </w:rPr>
        <w:t>неге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одржавања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заштите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616DF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отуђује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омогућава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другом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лицу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коришћење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периоду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седам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периоду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јагоде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464C303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Отуђењем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сматра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губитак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својства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наставак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обављања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форми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друштва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привредна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друштва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89A16AA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>V. МАКСИМАЛНИ ИЗНОС ПОДСТИЦАЈА ПО КОРИСНИКУ ПОДСТИЦАЈА И ПО ВРСТИ ПОДСТИЦАЈА</w:t>
      </w:r>
    </w:p>
    <w:p w14:paraId="4A646A06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29.</w:t>
      </w:r>
    </w:p>
    <w:p w14:paraId="0944422C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процентуалном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без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пореза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додату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неприхватљивих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законом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AAB4B3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прећи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Прилога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Прилога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871E795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lastRenderedPageBreak/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извршио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прихватљиве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члана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представља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статистичка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робе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динарима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јединственој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царинској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исправи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4CE0E1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Максимални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врсти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јесу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>:</w:t>
      </w:r>
    </w:p>
    <w:p w14:paraId="6FFFE684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2.500.000 </w:t>
      </w:r>
      <w:proofErr w:type="spellStart"/>
      <w:r w:rsidRPr="005616DF">
        <w:rPr>
          <w:rFonts w:ascii="Times New Roman" w:hAnsi="Times New Roman" w:cs="Times New Roman"/>
          <w:color w:val="000000"/>
        </w:rPr>
        <w:t>динара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73B4572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наслона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825.000 </w:t>
      </w:r>
      <w:proofErr w:type="spellStart"/>
      <w:r w:rsidRPr="005616DF">
        <w:rPr>
          <w:rFonts w:ascii="Times New Roman" w:hAnsi="Times New Roman" w:cs="Times New Roman"/>
          <w:color w:val="000000"/>
        </w:rPr>
        <w:t>динара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47E40B0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5616DF">
        <w:rPr>
          <w:rFonts w:ascii="Times New Roman" w:hAnsi="Times New Roman" w:cs="Times New Roman"/>
          <w:color w:val="000000"/>
        </w:rPr>
        <w:t>припрему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сертификатом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постављеним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саксијама</w:t>
      </w:r>
      <w:proofErr w:type="spellEnd"/>
      <w:r w:rsidRPr="005616DF">
        <w:rPr>
          <w:rFonts w:ascii="Times New Roman" w:hAnsi="Times New Roman" w:cs="Times New Roman"/>
          <w:color w:val="000000"/>
        </w:rPr>
        <w:t>/</w:t>
      </w:r>
      <w:proofErr w:type="spellStart"/>
      <w:r w:rsidRPr="005616DF">
        <w:rPr>
          <w:rFonts w:ascii="Times New Roman" w:hAnsi="Times New Roman" w:cs="Times New Roman"/>
          <w:color w:val="000000"/>
        </w:rPr>
        <w:t>врећама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супстрат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класичне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боровница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616DF">
        <w:rPr>
          <w:rFonts w:ascii="Times New Roman" w:hAnsi="Times New Roman" w:cs="Times New Roman"/>
          <w:color w:val="000000"/>
        </w:rPr>
        <w:t>или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малина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банковима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375.000 </w:t>
      </w:r>
      <w:proofErr w:type="spellStart"/>
      <w:r w:rsidRPr="005616DF">
        <w:rPr>
          <w:rFonts w:ascii="Times New Roman" w:hAnsi="Times New Roman" w:cs="Times New Roman"/>
          <w:color w:val="000000"/>
        </w:rPr>
        <w:t>динара</w:t>
      </w:r>
      <w:proofErr w:type="spellEnd"/>
      <w:r w:rsidRPr="005616DF">
        <w:rPr>
          <w:rFonts w:ascii="Times New Roman" w:hAnsi="Times New Roman" w:cs="Times New Roman"/>
          <w:color w:val="000000"/>
        </w:rPr>
        <w:t>;</w:t>
      </w:r>
    </w:p>
    <w:p w14:paraId="12887CAA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616DF">
        <w:rPr>
          <w:rFonts w:ascii="Times New Roman" w:hAnsi="Times New Roman" w:cs="Times New Roman"/>
          <w:color w:val="000000"/>
        </w:rPr>
        <w:t>анализу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земљишта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– 100.000 </w:t>
      </w:r>
      <w:proofErr w:type="spellStart"/>
      <w:r w:rsidRPr="005616DF">
        <w:rPr>
          <w:rFonts w:ascii="Times New Roman" w:hAnsi="Times New Roman" w:cs="Times New Roman"/>
          <w:color w:val="000000"/>
        </w:rPr>
        <w:t>динара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19234D2B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Ако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односе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српским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домаћим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одомаћеним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сортама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набавку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садница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увећавају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100.000 </w:t>
      </w:r>
      <w:proofErr w:type="spellStart"/>
      <w:r w:rsidRPr="005616DF">
        <w:rPr>
          <w:rFonts w:ascii="Times New Roman" w:hAnsi="Times New Roman" w:cs="Times New Roman"/>
          <w:color w:val="000000"/>
        </w:rPr>
        <w:t>динара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хектару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подигнутог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7A542211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Увећање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максималног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подручја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управних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округа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складу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месту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коме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налази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предмет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08ABCFE7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Највиши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укупни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износ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који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корисник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може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оствари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једној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календарској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3.000.000 </w:t>
      </w:r>
      <w:proofErr w:type="spellStart"/>
      <w:r w:rsidRPr="005616DF">
        <w:rPr>
          <w:rFonts w:ascii="Times New Roman" w:hAnsi="Times New Roman" w:cs="Times New Roman"/>
          <w:color w:val="000000"/>
        </w:rPr>
        <w:t>динара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42538FC8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>VI. ЗАВРШНЕ ОДРЕДБЕ</w:t>
      </w:r>
    </w:p>
    <w:p w14:paraId="1ABFD4B5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30.</w:t>
      </w:r>
    </w:p>
    <w:p w14:paraId="4C4FF08E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Даном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ступања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снагу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овог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важи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програмима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616DF">
        <w:rPr>
          <w:rFonts w:ascii="Times New Roman" w:hAnsi="Times New Roman" w:cs="Times New Roman"/>
          <w:color w:val="000000"/>
        </w:rPr>
        <w:t>физичку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имовину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кроз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подршку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засада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воћака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616DF">
        <w:rPr>
          <w:rFonts w:ascii="Times New Roman" w:hAnsi="Times New Roman" w:cs="Times New Roman"/>
          <w:color w:val="000000"/>
        </w:rPr>
        <w:t>хмеља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гласник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РСˮ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616DF">
        <w:rPr>
          <w:rFonts w:ascii="Times New Roman" w:hAnsi="Times New Roman" w:cs="Times New Roman"/>
          <w:color w:val="000000"/>
        </w:rPr>
        <w:t>брoj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17/23).</w:t>
      </w:r>
    </w:p>
    <w:p w14:paraId="31CC5865" w14:textId="77777777" w:rsidR="006C34DF" w:rsidRPr="005616DF" w:rsidRDefault="009D182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Члан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31.</w:t>
      </w:r>
    </w:p>
    <w:p w14:paraId="0767E83F" w14:textId="77777777" w:rsidR="006C34DF" w:rsidRPr="005616DF" w:rsidRDefault="009D1820" w:rsidP="009D182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Овај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ступа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снагу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од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дана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5616D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Србијеˮ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38456C4A" w14:textId="77777777" w:rsidR="006C34DF" w:rsidRPr="005616DF" w:rsidRDefault="009D182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Број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110-00-116/2023-09</w:t>
      </w:r>
    </w:p>
    <w:p w14:paraId="5A581D96" w14:textId="77777777" w:rsidR="006C34DF" w:rsidRPr="005616DF" w:rsidRDefault="009D1820">
      <w:pPr>
        <w:spacing w:after="150"/>
        <w:jc w:val="right"/>
        <w:rPr>
          <w:rFonts w:ascii="Times New Roman" w:hAnsi="Times New Roman" w:cs="Times New Roman"/>
        </w:rPr>
      </w:pPr>
      <w:r w:rsidRPr="005616D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616D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, 14. </w:t>
      </w:r>
      <w:proofErr w:type="spellStart"/>
      <w:r w:rsidRPr="005616DF">
        <w:rPr>
          <w:rFonts w:ascii="Times New Roman" w:hAnsi="Times New Roman" w:cs="Times New Roman"/>
          <w:color w:val="000000"/>
        </w:rPr>
        <w:t>јула</w:t>
      </w:r>
      <w:proofErr w:type="spellEnd"/>
      <w:r w:rsidRPr="005616DF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5616DF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0173E102" w14:textId="77777777" w:rsidR="006C34DF" w:rsidRPr="005616DF" w:rsidRDefault="009D182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616DF">
        <w:rPr>
          <w:rFonts w:ascii="Times New Roman" w:hAnsi="Times New Roman" w:cs="Times New Roman"/>
          <w:color w:val="000000"/>
        </w:rPr>
        <w:t>,</w:t>
      </w:r>
    </w:p>
    <w:p w14:paraId="558BB136" w14:textId="77777777" w:rsidR="006C34DF" w:rsidRPr="005616DF" w:rsidRDefault="009D182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616DF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5616DF">
        <w:rPr>
          <w:rFonts w:ascii="Times New Roman" w:hAnsi="Times New Roman" w:cs="Times New Roman"/>
          <w:b/>
          <w:color w:val="000000"/>
        </w:rPr>
        <w:t>,</w:t>
      </w:r>
      <w:r w:rsidRPr="005616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616DF">
        <w:rPr>
          <w:rFonts w:ascii="Times New Roman" w:hAnsi="Times New Roman" w:cs="Times New Roman"/>
          <w:color w:val="000000"/>
        </w:rPr>
        <w:t>с.р</w:t>
      </w:r>
      <w:proofErr w:type="spellEnd"/>
      <w:r w:rsidRPr="005616DF">
        <w:rPr>
          <w:rFonts w:ascii="Times New Roman" w:hAnsi="Times New Roman" w:cs="Times New Roman"/>
          <w:color w:val="000000"/>
        </w:rPr>
        <w:t>.</w:t>
      </w:r>
    </w:p>
    <w:p w14:paraId="6B1A5A41" w14:textId="77777777" w:rsidR="006C34DF" w:rsidRPr="005616DF" w:rsidRDefault="009D1820">
      <w:pPr>
        <w:rPr>
          <w:rFonts w:ascii="Times New Roman" w:hAnsi="Times New Roman" w:cs="Times New Roman"/>
        </w:rPr>
      </w:pPr>
      <w:bookmarkStart w:id="0" w:name="_idContainer005"/>
      <w:r w:rsidRPr="005616D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19A398A" wp14:editId="149E2034">
            <wp:extent cx="5732145" cy="3228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D055BA8" w14:textId="77777777" w:rsidR="006C34DF" w:rsidRDefault="009D1820">
      <w:pPr>
        <w:spacing w:after="150"/>
      </w:pPr>
      <w:r>
        <w:rPr>
          <w:noProof/>
        </w:rPr>
        <w:lastRenderedPageBreak/>
        <w:drawing>
          <wp:inline distT="0" distB="0" distL="0" distR="0" wp14:anchorId="11461FCB" wp14:editId="4A3E76DD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4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DF"/>
    <w:rsid w:val="005616DF"/>
    <w:rsid w:val="006C34DF"/>
    <w:rsid w:val="009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B578"/>
  <w15:docId w15:val="{0275939C-2B33-40A5-BD6B-057ADB4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321A-D615-42CE-B73A-BCBE0D32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7779</Words>
  <Characters>44341</Characters>
  <Application>Microsoft Office Word</Application>
  <DocSecurity>0</DocSecurity>
  <Lines>369</Lines>
  <Paragraphs>104</Paragraphs>
  <ScaleCrop>false</ScaleCrop>
  <Company/>
  <LinksUpToDate>false</LinksUpToDate>
  <CharactersWithSpaces>52016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2023-07-17T07:02:00Z</dcterms:created>
  <dcterms:modified xsi:type="dcterms:W3CDTF">2023-07-17T07:02:00Z</dcterms:modified>
</cp:coreProperties>
</file>