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основу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42а </w:t>
      </w:r>
      <w:proofErr w:type="spellStart"/>
      <w:r w:rsidRPr="0054420B">
        <w:rPr>
          <w:rFonts w:ascii="Times New Roman" w:hAnsi="Times New Roman" w:cs="Times New Roman"/>
          <w:color w:val="000000"/>
        </w:rPr>
        <w:t>став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54420B">
        <w:rPr>
          <w:rFonts w:ascii="Times New Roman" w:hAnsi="Times New Roman" w:cs="Times New Roman"/>
          <w:color w:val="000000"/>
        </w:rPr>
        <w:t>Закона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развоју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4420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4420B">
        <w:rPr>
          <w:rFonts w:ascii="Times New Roman" w:hAnsi="Times New Roman" w:cs="Times New Roman"/>
          <w:color w:val="000000"/>
        </w:rPr>
        <w:t>бр</w:t>
      </w:r>
      <w:proofErr w:type="spellEnd"/>
      <w:r w:rsidRPr="0054420B">
        <w:rPr>
          <w:rFonts w:ascii="Times New Roman" w:hAnsi="Times New Roman" w:cs="Times New Roman"/>
          <w:color w:val="000000"/>
        </w:rPr>
        <w:t>. 10/13, 142/14, 103/15 и 101/16),</w:t>
      </w:r>
    </w:p>
    <w:p w:rsidR="00583BCA" w:rsidRPr="0054420B" w:rsidRDefault="00E52BFF" w:rsidP="0054420B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583BCA" w:rsidRPr="0054420B" w:rsidRDefault="00E52BFF">
      <w:pPr>
        <w:spacing w:after="225"/>
        <w:jc w:val="center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b/>
          <w:color w:val="000000"/>
        </w:rPr>
        <w:t>ПРАВИЛНИК</w:t>
      </w:r>
    </w:p>
    <w:p w:rsidR="00583BCA" w:rsidRPr="0054420B" w:rsidRDefault="00E52BFF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54420B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изменама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остваривања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кредитну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подршку</w:t>
      </w:r>
      <w:proofErr w:type="spellEnd"/>
    </w:p>
    <w:p w:rsidR="00583BCA" w:rsidRPr="0054420B" w:rsidRDefault="00E52BF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Члан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начину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остваривања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подршку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54420B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54420B">
        <w:rPr>
          <w:rFonts w:ascii="Times New Roman" w:hAnsi="Times New Roman" w:cs="Times New Roman"/>
          <w:color w:val="000000"/>
        </w:rPr>
        <w:t>бр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. 48/17, 88/17, 84/18 и 23/19), у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. 1) </w:t>
      </w:r>
      <w:proofErr w:type="gramStart"/>
      <w:r w:rsidRPr="0054420B">
        <w:rPr>
          <w:rFonts w:ascii="Times New Roman" w:hAnsi="Times New Roman" w:cs="Times New Roman"/>
          <w:color w:val="000000"/>
        </w:rPr>
        <w:t>и</w:t>
      </w:r>
      <w:proofErr w:type="gramEnd"/>
      <w:r w:rsidRPr="0054420B">
        <w:rPr>
          <w:rFonts w:ascii="Times New Roman" w:hAnsi="Times New Roman" w:cs="Times New Roman"/>
          <w:color w:val="000000"/>
        </w:rPr>
        <w:t xml:space="preserve"> 2) </w:t>
      </w:r>
      <w:proofErr w:type="spellStart"/>
      <w:r w:rsidRPr="0054420B">
        <w:rPr>
          <w:rFonts w:ascii="Times New Roman" w:hAnsi="Times New Roman" w:cs="Times New Roman"/>
          <w:color w:val="000000"/>
        </w:rPr>
        <w:t>мењају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гласе</w:t>
      </w:r>
      <w:proofErr w:type="spellEnd"/>
      <w:r w:rsidRPr="0054420B">
        <w:rPr>
          <w:rFonts w:ascii="Times New Roman" w:hAnsi="Times New Roman" w:cs="Times New Roman"/>
          <w:color w:val="000000"/>
        </w:rPr>
        <w:t>: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„1)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рок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отплате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развој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сточарства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54420B">
        <w:rPr>
          <w:rFonts w:ascii="Times New Roman" w:hAnsi="Times New Roman" w:cs="Times New Roman"/>
          <w:color w:val="000000"/>
        </w:rPr>
        <w:t>телади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јунади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телесне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300 kg,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грла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овчарству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козарству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јагњади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телесне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20 kg, </w:t>
      </w:r>
      <w:proofErr w:type="spellStart"/>
      <w:r w:rsidRPr="0054420B">
        <w:rPr>
          <w:rFonts w:ascii="Times New Roman" w:hAnsi="Times New Roman" w:cs="Times New Roman"/>
          <w:color w:val="000000"/>
        </w:rPr>
        <w:t>јаради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телесне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15 kg,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грла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свињарству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прасади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телесне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25 kg,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родитељских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420B">
        <w:rPr>
          <w:rFonts w:ascii="Times New Roman" w:hAnsi="Times New Roman" w:cs="Times New Roman"/>
          <w:color w:val="000000"/>
        </w:rPr>
        <w:t>кокошке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ћурке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гуске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патке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бисерке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4420B">
        <w:rPr>
          <w:rFonts w:ascii="Times New Roman" w:hAnsi="Times New Roman" w:cs="Times New Roman"/>
          <w:color w:val="000000"/>
        </w:rPr>
        <w:t>једнодневних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пилића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ројева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пчела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стандардно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формираних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рамова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пчелиње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матице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без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кошница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рибље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млађи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намену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. 2)–4)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рок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отплате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највише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развој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сточарства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обухвата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јуница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намену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5)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>;”.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4420B">
        <w:rPr>
          <w:rFonts w:ascii="Times New Roman" w:hAnsi="Times New Roman" w:cs="Times New Roman"/>
          <w:color w:val="000000"/>
        </w:rPr>
        <w:t>тачки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8) </w:t>
      </w:r>
      <w:proofErr w:type="spellStart"/>
      <w:r w:rsidRPr="0054420B">
        <w:rPr>
          <w:rFonts w:ascii="Times New Roman" w:hAnsi="Times New Roman" w:cs="Times New Roman"/>
          <w:color w:val="000000"/>
        </w:rPr>
        <w:t>после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речи</w:t>
      </w:r>
      <w:proofErr w:type="spellEnd"/>
      <w:r w:rsidRPr="0054420B">
        <w:rPr>
          <w:rFonts w:ascii="Times New Roman" w:hAnsi="Times New Roman" w:cs="Times New Roman"/>
          <w:color w:val="000000"/>
        </w:rPr>
        <w:t>: „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54420B">
        <w:rPr>
          <w:rFonts w:ascii="Times New Roman" w:hAnsi="Times New Roman" w:cs="Times New Roman"/>
          <w:color w:val="000000"/>
        </w:rPr>
        <w:t>додају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запета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речи</w:t>
      </w:r>
      <w:proofErr w:type="spellEnd"/>
      <w:r w:rsidRPr="0054420B">
        <w:rPr>
          <w:rFonts w:ascii="Times New Roman" w:hAnsi="Times New Roman" w:cs="Times New Roman"/>
          <w:color w:val="000000"/>
        </w:rPr>
        <w:t>: „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јуница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може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одложени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рок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враћања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главнице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две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укључује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рок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отплате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>”.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Тачка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12) </w:t>
      </w:r>
      <w:proofErr w:type="spellStart"/>
      <w:r w:rsidRPr="0054420B">
        <w:rPr>
          <w:rFonts w:ascii="Times New Roman" w:hAnsi="Times New Roman" w:cs="Times New Roman"/>
          <w:color w:val="000000"/>
        </w:rPr>
        <w:t>мења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гласи</w:t>
      </w:r>
      <w:proofErr w:type="spellEnd"/>
      <w:r w:rsidRPr="0054420B">
        <w:rPr>
          <w:rFonts w:ascii="Times New Roman" w:hAnsi="Times New Roman" w:cs="Times New Roman"/>
          <w:color w:val="000000"/>
        </w:rPr>
        <w:t>: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„12)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износ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премије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прве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отплате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терет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подршку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користи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јуница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старости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важећу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износ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премије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терет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важећу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отплате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његовом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власништву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подршку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користи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других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>;”.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После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тачке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12) </w:t>
      </w:r>
      <w:proofErr w:type="spellStart"/>
      <w:r w:rsidRPr="0054420B">
        <w:rPr>
          <w:rFonts w:ascii="Times New Roman" w:hAnsi="Times New Roman" w:cs="Times New Roman"/>
          <w:color w:val="000000"/>
        </w:rPr>
        <w:t>додаје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тачка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13)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гласи</w:t>
      </w:r>
      <w:proofErr w:type="spellEnd"/>
      <w:r w:rsidRPr="0054420B">
        <w:rPr>
          <w:rFonts w:ascii="Times New Roman" w:hAnsi="Times New Roman" w:cs="Times New Roman"/>
          <w:color w:val="000000"/>
        </w:rPr>
        <w:t>: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„13)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обавља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трговину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може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бити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регистрован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рурални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развој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погледу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производа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регистрације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статус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половног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атестираног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теретног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возила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превоз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уграђених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кошница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пчела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може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бити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било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>.”.</w:t>
      </w:r>
    </w:p>
    <w:p w:rsidR="00870642" w:rsidRDefault="00870642">
      <w:pPr>
        <w:spacing w:after="120"/>
        <w:jc w:val="center"/>
        <w:rPr>
          <w:rFonts w:ascii="Times New Roman" w:hAnsi="Times New Roman" w:cs="Times New Roman"/>
          <w:color w:val="000000"/>
        </w:rPr>
      </w:pPr>
    </w:p>
    <w:p w:rsidR="00583BCA" w:rsidRPr="0054420B" w:rsidRDefault="00E52BFF">
      <w:pPr>
        <w:spacing w:after="120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54420B">
        <w:rPr>
          <w:rFonts w:ascii="Times New Roman" w:hAnsi="Times New Roman" w:cs="Times New Roman"/>
          <w:color w:val="000000"/>
        </w:rPr>
        <w:lastRenderedPageBreak/>
        <w:t>Члан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2.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Члан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12.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мења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гласи</w:t>
      </w:r>
      <w:proofErr w:type="spellEnd"/>
      <w:r w:rsidRPr="0054420B">
        <w:rPr>
          <w:rFonts w:ascii="Times New Roman" w:hAnsi="Times New Roman" w:cs="Times New Roman"/>
          <w:color w:val="000000"/>
        </w:rPr>
        <w:t>: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>„</w:t>
      </w:r>
      <w:proofErr w:type="spellStart"/>
      <w:r w:rsidRPr="0054420B">
        <w:rPr>
          <w:rFonts w:ascii="Times New Roman" w:hAnsi="Times New Roman" w:cs="Times New Roman"/>
          <w:color w:val="000000"/>
        </w:rPr>
        <w:t>Уз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захтев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развој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сточарства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пре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пуштања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течај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подноси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предрачун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друга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пословном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политиком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банке</w:t>
      </w:r>
      <w:proofErr w:type="spellEnd"/>
      <w:r w:rsidRPr="0054420B">
        <w:rPr>
          <w:rFonts w:ascii="Times New Roman" w:hAnsi="Times New Roman" w:cs="Times New Roman"/>
          <w:color w:val="000000"/>
        </w:rPr>
        <w:t>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физичко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уз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захтев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одобрење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. 3)–11)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пре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пуштања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течај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подноси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предуговор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купопродаји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наведених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изјава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подносиоца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захтева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материјалном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кривичном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одговорношћу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ће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искористити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намене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наведене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захтеву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друга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пословном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политиком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банке</w:t>
      </w:r>
      <w:proofErr w:type="spellEnd"/>
      <w:r w:rsidRPr="0054420B">
        <w:rPr>
          <w:rFonts w:ascii="Times New Roman" w:hAnsi="Times New Roman" w:cs="Times New Roman"/>
          <w:color w:val="000000"/>
        </w:rPr>
        <w:t>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После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пуштања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течај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банци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следећа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>: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уверења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пореклу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производним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особинама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420B">
        <w:rPr>
          <w:rFonts w:ascii="Times New Roman" w:hAnsi="Times New Roman" w:cs="Times New Roman"/>
          <w:color w:val="000000"/>
        </w:rPr>
        <w:t>педигре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квалитетна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приплодна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грла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увозна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грла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педигреа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земље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извозника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одговарајућег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пореклу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увеженог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издатог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надлежног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органа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земље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извознице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потврде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увид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потврде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контроли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одгоју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издате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стране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овлашћене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установе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селекцију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репродукцију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потврде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увид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пасоша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говеда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утврђује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извршено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обележавање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регистрација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говеда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њихово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праћење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кретања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пасоша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говеда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увид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увозна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грла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пасоша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земље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извознице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4420B">
        <w:rPr>
          <w:rFonts w:ascii="Times New Roman" w:hAnsi="Times New Roman" w:cs="Times New Roman"/>
          <w:color w:val="000000"/>
        </w:rPr>
        <w:t>доказ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говеда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евидентирана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Централној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бази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података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обележавању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одговарајуће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потврде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извршеном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обележавању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регистрацији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свиња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оваца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коза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одговарајуће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потврде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извршеној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вакцинацији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против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Атипичне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куге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4420B">
        <w:rPr>
          <w:rFonts w:ascii="Times New Roman" w:hAnsi="Times New Roman" w:cs="Times New Roman"/>
          <w:color w:val="000000"/>
        </w:rPr>
        <w:t>Њукастл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издата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донетим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његово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уверења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здравственом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стању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прописима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донетим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његово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рачуна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набављени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рачуна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увид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. 3)–11)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физичко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може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доставити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само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копија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уговора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54420B">
        <w:rPr>
          <w:rFonts w:ascii="Times New Roman" w:hAnsi="Times New Roman" w:cs="Times New Roman"/>
          <w:color w:val="000000"/>
        </w:rPr>
        <w:t>купопродаји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набављени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оригинал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купопродајног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уговора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увид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7)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винкулирана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корист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. 1)–8)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ризика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угинућа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несрећног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случаја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ризика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принудног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клања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због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несрећног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случаја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непосредна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клање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врши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ради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искоришћења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смањења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штете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420B">
        <w:rPr>
          <w:rFonts w:ascii="Times New Roman" w:hAnsi="Times New Roman" w:cs="Times New Roman"/>
          <w:color w:val="000000"/>
        </w:rPr>
        <w:t>принудно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клање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нужде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54420B">
        <w:rPr>
          <w:rFonts w:ascii="Times New Roman" w:hAnsi="Times New Roman" w:cs="Times New Roman"/>
          <w:color w:val="000000"/>
        </w:rPr>
        <w:t>ризика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принудног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клања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убијања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када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због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болести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несрећног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случаја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животињи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непосредна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опасност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али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постала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неупотребљива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било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сврху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нема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изгледа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лечењем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измени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па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даље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држање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постало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разлога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нерентабилно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54420B">
        <w:rPr>
          <w:rFonts w:ascii="Times New Roman" w:hAnsi="Times New Roman" w:cs="Times New Roman"/>
          <w:color w:val="000000"/>
        </w:rPr>
        <w:t>принудно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клање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економских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разлога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може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одобрити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само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хроничних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обољења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имала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свој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почетак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била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лечена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након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почетка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обавезе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осигуравача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висина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годишњих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премијских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стопа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није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већа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висине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утврђене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Прилогу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54420B">
        <w:rPr>
          <w:rFonts w:ascii="Times New Roman" w:hAnsi="Times New Roman" w:cs="Times New Roman"/>
          <w:color w:val="000000"/>
        </w:rPr>
        <w:t>Висина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годишњих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премијских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стопа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субвенционише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пуном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износу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одштампан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овај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54420B">
        <w:rPr>
          <w:rFonts w:ascii="Times New Roman" w:hAnsi="Times New Roman" w:cs="Times New Roman"/>
          <w:color w:val="000000"/>
        </w:rPr>
        <w:t>чини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његов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део</w:t>
      </w:r>
      <w:proofErr w:type="spellEnd"/>
      <w:r w:rsidRPr="0054420B">
        <w:rPr>
          <w:rFonts w:ascii="Times New Roman" w:hAnsi="Times New Roman" w:cs="Times New Roman"/>
          <w:color w:val="000000"/>
        </w:rPr>
        <w:t>;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8)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друга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пословном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политиком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банке</w:t>
      </w:r>
      <w:proofErr w:type="spellEnd"/>
      <w:r w:rsidRPr="0054420B">
        <w:rPr>
          <w:rFonts w:ascii="Times New Roman" w:hAnsi="Times New Roman" w:cs="Times New Roman"/>
          <w:color w:val="000000"/>
        </w:rPr>
        <w:t>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лице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односно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предузетник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обавља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трговину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банци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најкасније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року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30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испоруке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предмета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54420B">
        <w:rPr>
          <w:rFonts w:ascii="Times New Roman" w:hAnsi="Times New Roman" w:cs="Times New Roman"/>
          <w:color w:val="000000"/>
        </w:rPr>
        <w:t>ако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добављач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пољопривредник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има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статус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трговца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складу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законом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којим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уређује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трговина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документација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4420B">
        <w:rPr>
          <w:rFonts w:ascii="Times New Roman" w:hAnsi="Times New Roman" w:cs="Times New Roman"/>
          <w:color w:val="000000"/>
        </w:rPr>
        <w:t>доставља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банци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року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60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пуштања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кредита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54420B">
        <w:rPr>
          <w:rFonts w:ascii="Times New Roman" w:hAnsi="Times New Roman" w:cs="Times New Roman"/>
          <w:color w:val="000000"/>
        </w:rPr>
        <w:t>течај</w:t>
      </w:r>
      <w:proofErr w:type="spellEnd"/>
      <w:r w:rsidRPr="0054420B">
        <w:rPr>
          <w:rFonts w:ascii="Times New Roman" w:hAnsi="Times New Roman" w:cs="Times New Roman"/>
          <w:color w:val="000000"/>
        </w:rPr>
        <w:t>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Полиса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из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става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тачка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7) </w:t>
      </w:r>
      <w:proofErr w:type="spellStart"/>
      <w:r w:rsidRPr="0054420B">
        <w:rPr>
          <w:rFonts w:ascii="Times New Roman" w:hAnsi="Times New Roman" w:cs="Times New Roman"/>
          <w:color w:val="000000"/>
        </w:rPr>
        <w:t>овог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члана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закључује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друштвом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осигурање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које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је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Министарством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закључило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уговор</w:t>
      </w:r>
      <w:proofErr w:type="spellEnd"/>
      <w:r w:rsidRPr="0054420B">
        <w:rPr>
          <w:rFonts w:ascii="Times New Roman" w:hAnsi="Times New Roman" w:cs="Times New Roman"/>
          <w:color w:val="000000"/>
        </w:rPr>
        <w:t>.”.</w:t>
      </w:r>
    </w:p>
    <w:p w:rsidR="00583BCA" w:rsidRPr="0054420B" w:rsidRDefault="00E52BFF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Члан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3.</w:t>
      </w:r>
    </w:p>
    <w:p w:rsidR="00583BCA" w:rsidRPr="0054420B" w:rsidRDefault="00E52BFF" w:rsidP="0054420B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Овај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ступа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снагу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од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дана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54420B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Србије</w:t>
      </w:r>
      <w:proofErr w:type="spellEnd"/>
      <w:r w:rsidRPr="0054420B">
        <w:rPr>
          <w:rFonts w:ascii="Times New Roman" w:hAnsi="Times New Roman" w:cs="Times New Roman"/>
          <w:color w:val="000000"/>
        </w:rPr>
        <w:t>”.</w:t>
      </w:r>
    </w:p>
    <w:p w:rsidR="00583BCA" w:rsidRPr="0054420B" w:rsidRDefault="00E52BF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Број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 110-00-135/2017-09</w:t>
      </w:r>
    </w:p>
    <w:p w:rsidR="00583BCA" w:rsidRPr="0054420B" w:rsidRDefault="00E52BFF">
      <w:pPr>
        <w:spacing w:after="150"/>
        <w:jc w:val="right"/>
        <w:rPr>
          <w:rFonts w:ascii="Times New Roman" w:hAnsi="Times New Roman" w:cs="Times New Roman"/>
        </w:rPr>
      </w:pPr>
      <w:r w:rsidRPr="0054420B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4420B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54420B">
        <w:rPr>
          <w:rFonts w:ascii="Times New Roman" w:hAnsi="Times New Roman" w:cs="Times New Roman"/>
          <w:color w:val="000000"/>
        </w:rPr>
        <w:t xml:space="preserve">, 10.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марта</w:t>
      </w:r>
      <w:proofErr w:type="spellEnd"/>
      <w:proofErr w:type="gramEnd"/>
      <w:r w:rsidRPr="0054420B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54420B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583BCA" w:rsidRPr="0054420B" w:rsidRDefault="00E52BF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54420B">
        <w:rPr>
          <w:rFonts w:ascii="Times New Roman" w:hAnsi="Times New Roman" w:cs="Times New Roman"/>
          <w:color w:val="000000"/>
        </w:rPr>
        <w:t>,</w:t>
      </w:r>
    </w:p>
    <w:p w:rsidR="00583BCA" w:rsidRPr="0054420B" w:rsidRDefault="00E52BFF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54420B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54420B">
        <w:rPr>
          <w:rFonts w:ascii="Times New Roman" w:hAnsi="Times New Roman" w:cs="Times New Roman"/>
          <w:b/>
          <w:color w:val="000000"/>
        </w:rPr>
        <w:t>,</w:t>
      </w:r>
      <w:r w:rsidRPr="005442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4420B">
        <w:rPr>
          <w:rFonts w:ascii="Times New Roman" w:hAnsi="Times New Roman" w:cs="Times New Roman"/>
          <w:color w:val="000000"/>
        </w:rPr>
        <w:t>с.р</w:t>
      </w:r>
      <w:proofErr w:type="spellEnd"/>
      <w:r w:rsidRPr="0054420B">
        <w:rPr>
          <w:rFonts w:ascii="Times New Roman" w:hAnsi="Times New Roman" w:cs="Times New Roman"/>
          <w:color w:val="000000"/>
        </w:rPr>
        <w:t>.</w:t>
      </w:r>
    </w:p>
    <w:sectPr w:rsidR="00583BCA" w:rsidRPr="005442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CA"/>
    <w:rsid w:val="0054420B"/>
    <w:rsid w:val="00583BCA"/>
    <w:rsid w:val="00870642"/>
    <w:rsid w:val="00E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57CB"/>
  <w15:docId w15:val="{D0ADC36D-32F8-4603-838F-6B1B5362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Aleksandra Bačević</cp:lastModifiedBy>
  <cp:revision>2</cp:revision>
  <cp:lastPrinted>2020-03-17T11:28:00Z</cp:lastPrinted>
  <dcterms:created xsi:type="dcterms:W3CDTF">2020-03-17T11:28:00Z</dcterms:created>
  <dcterms:modified xsi:type="dcterms:W3CDTF">2020-03-17T11:28:00Z</dcterms:modified>
</cp:coreProperties>
</file>