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0CC0" w14:textId="59935CD3" w:rsidR="00884B39" w:rsidRPr="00BD791D" w:rsidRDefault="00BD791D">
      <w:pPr>
        <w:spacing w:after="150"/>
        <w:rPr>
          <w:rFonts w:ascii="Times New Roman" w:hAnsi="Times New Roman" w:cs="Times New Roman"/>
        </w:rPr>
      </w:pPr>
      <w:r w:rsidRPr="00BD791D">
        <w:rPr>
          <w:rFonts w:ascii="Tahoma" w:hAnsi="Tahoma" w:cs="Tahoma"/>
          <w:color w:val="000000"/>
        </w:rPr>
        <w:t>﻿</w:t>
      </w:r>
      <w:r w:rsidRPr="00BD791D">
        <w:rPr>
          <w:rFonts w:ascii="Times New Roman" w:hAnsi="Times New Roman" w:cs="Times New Roman"/>
        </w:rPr>
        <w:t xml:space="preserve"> </w:t>
      </w:r>
    </w:p>
    <w:p w14:paraId="6490ACE8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основу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развоју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гласник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D791D">
        <w:rPr>
          <w:rFonts w:ascii="Times New Roman" w:hAnsi="Times New Roman" w:cs="Times New Roman"/>
          <w:color w:val="000000"/>
        </w:rPr>
        <w:t>бр</w:t>
      </w:r>
      <w:proofErr w:type="spellEnd"/>
      <w:r w:rsidRPr="00BD791D">
        <w:rPr>
          <w:rFonts w:ascii="Times New Roman" w:hAnsi="Times New Roman" w:cs="Times New Roman"/>
          <w:color w:val="000000"/>
        </w:rPr>
        <w:t>. 10/13, 142/14, 103/15 и 101/16),</w:t>
      </w:r>
    </w:p>
    <w:p w14:paraId="1D462B0E" w14:textId="77777777" w:rsidR="00884B39" w:rsidRPr="00BD791D" w:rsidRDefault="00BD791D">
      <w:pPr>
        <w:spacing w:after="150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27EE8BB5" w14:textId="77777777" w:rsidR="00884B39" w:rsidRPr="00BD791D" w:rsidRDefault="00BD791D">
      <w:pPr>
        <w:spacing w:after="225"/>
        <w:jc w:val="center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b/>
          <w:color w:val="000000"/>
        </w:rPr>
        <w:t>ПРАВИЛНИК</w:t>
      </w:r>
    </w:p>
    <w:p w14:paraId="05726D82" w14:textId="70F8A43D" w:rsidR="00884B39" w:rsidRDefault="00BD791D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BD791D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јунади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свиња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јагњади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јаради</w:t>
      </w:r>
      <w:proofErr w:type="spellEnd"/>
    </w:p>
    <w:p w14:paraId="4DB102C6" w14:textId="77777777" w:rsidR="00BD791D" w:rsidRDefault="00BD791D" w:rsidP="00BD791D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color w:val="000000"/>
          <w:lang w:val="sr-Cyrl-RS"/>
        </w:rPr>
        <w:t>Објављено у „</w:t>
      </w:r>
      <w:proofErr w:type="spellStart"/>
      <w:r>
        <w:rPr>
          <w:rFonts w:ascii="Times New Roman" w:hAnsi="Times New Roman" w:cs="Times New Roman"/>
          <w:bCs/>
          <w:color w:val="000000"/>
        </w:rPr>
        <w:t>Службен</w:t>
      </w:r>
      <w:proofErr w:type="spellEnd"/>
      <w:r>
        <w:rPr>
          <w:rFonts w:ascii="Times New Roman" w:hAnsi="Times New Roman" w:cs="Times New Roman"/>
          <w:bCs/>
          <w:color w:val="000000"/>
          <w:lang w:val="sr-Cyrl-RS"/>
        </w:rPr>
        <w:t>ом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гласник</w:t>
      </w:r>
      <w:proofErr w:type="spellEnd"/>
      <w:r>
        <w:rPr>
          <w:rFonts w:ascii="Times New Roman" w:hAnsi="Times New Roman" w:cs="Times New Roman"/>
          <w:bCs/>
          <w:color w:val="000000"/>
          <w:lang w:val="sr-Cyrl-RS"/>
        </w:rPr>
        <w:t>у</w:t>
      </w:r>
      <w:r>
        <w:rPr>
          <w:rFonts w:ascii="Times New Roman" w:hAnsi="Times New Roman" w:cs="Times New Roman"/>
          <w:bCs/>
          <w:color w:val="000000"/>
        </w:rPr>
        <w:t xml:space="preserve"> РС”</w:t>
      </w:r>
      <w:r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број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r-Cyrl-RS"/>
        </w:rPr>
        <w:t>32/2023</w:t>
      </w:r>
    </w:p>
    <w:p w14:paraId="11DFC409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</w:t>
      </w:r>
    </w:p>
    <w:p w14:paraId="50703C66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ближе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услови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јунади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јагњади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D791D">
        <w:rPr>
          <w:rFonts w:ascii="Times New Roman" w:hAnsi="Times New Roman" w:cs="Times New Roman"/>
          <w:color w:val="000000"/>
        </w:rPr>
        <w:t>даљем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обрасци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CC9F88E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2.</w:t>
      </w:r>
    </w:p>
    <w:p w14:paraId="6B51682E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Право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физичко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D791D">
        <w:rPr>
          <w:rFonts w:ascii="Times New Roman" w:hAnsi="Times New Roman" w:cs="Times New Roman"/>
          <w:color w:val="000000"/>
        </w:rPr>
        <w:t>носилац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комерцијалног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услове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развоју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D791D">
        <w:rPr>
          <w:rFonts w:ascii="Times New Roman" w:hAnsi="Times New Roman" w:cs="Times New Roman"/>
          <w:color w:val="000000"/>
        </w:rPr>
        <w:t>даљем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обнову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текућу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годину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D168BA6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највише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5.000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току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године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54F8182D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3.</w:t>
      </w:r>
    </w:p>
    <w:p w14:paraId="4CC44B04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аграрна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плаћања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D791D">
        <w:rPr>
          <w:rFonts w:ascii="Times New Roman" w:hAnsi="Times New Roman" w:cs="Times New Roman"/>
          <w:color w:val="000000"/>
        </w:rPr>
        <w:t>даљем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D791D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јунади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јагњади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D791D">
        <w:rPr>
          <w:rFonts w:ascii="Times New Roman" w:hAnsi="Times New Roman" w:cs="Times New Roman"/>
          <w:color w:val="000000"/>
        </w:rPr>
        <w:t>даљем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17EBC09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Јавни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садржи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износу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расположивих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1600681C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Зaхтeв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пoднoси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сe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року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одређеном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кланици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истека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рока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претходном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8A6AE8C" w14:textId="77777777" w:rsidR="00884B39" w:rsidRPr="00BD791D" w:rsidRDefault="00BD791D" w:rsidP="00BD79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Зaхтeв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пoднoси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сe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пoсeбнo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зa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свaку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грлa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BD791D">
        <w:rPr>
          <w:rFonts w:ascii="Times New Roman" w:hAnsi="Times New Roman" w:cs="Times New Roman"/>
          <w:color w:val="000000"/>
        </w:rPr>
        <w:t>тим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дa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сe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зa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грлa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пoднoси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1D83096D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</w:t>
      </w:r>
    </w:p>
    <w:p w14:paraId="470D68E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покреће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избором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попуњавањем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одговарајућег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обрасца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lastRenderedPageBreak/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пoсeбнo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зa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свaку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грлa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r w:rsidRPr="00BD791D">
        <w:rPr>
          <w:rFonts w:ascii="Times New Roman" w:hAnsi="Times New Roman" w:cs="Times New Roman"/>
          <w:i/>
          <w:color w:val="000000"/>
        </w:rPr>
        <w:t>online</w:t>
      </w:r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форми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потписује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шемом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високог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нивоа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687E124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стaва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478FF5A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свим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вођења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обавези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78CFC28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D791D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5567DF4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вођења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треће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сл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.),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BD791D">
        <w:rPr>
          <w:rFonts w:ascii="Times New Roman" w:hAnsi="Times New Roman" w:cs="Times New Roman"/>
          <w:color w:val="000000"/>
        </w:rPr>
        <w:t>томе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приступ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могућ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основу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пристанка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CEEC12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образац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3E75AF45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D791D">
        <w:rPr>
          <w:rFonts w:ascii="Times New Roman" w:hAnsi="Times New Roman" w:cs="Times New Roman"/>
          <w:color w:val="000000"/>
        </w:rPr>
        <w:t>основне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43D1AE54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BD791D">
        <w:rPr>
          <w:rFonts w:ascii="Times New Roman" w:hAnsi="Times New Roman" w:cs="Times New Roman"/>
          <w:color w:val="000000"/>
        </w:rPr>
        <w:t>име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презиме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назив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5E199233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матични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грађана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(ЈМБГ),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матични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(МБ),</w:t>
      </w:r>
    </w:p>
    <w:p w14:paraId="160A858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BD791D">
        <w:rPr>
          <w:rFonts w:ascii="Times New Roman" w:hAnsi="Times New Roman" w:cs="Times New Roman"/>
          <w:color w:val="000000"/>
        </w:rPr>
        <w:t>адресу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D791D">
        <w:rPr>
          <w:rFonts w:ascii="Times New Roman" w:hAnsi="Times New Roman" w:cs="Times New Roman"/>
          <w:color w:val="000000"/>
        </w:rPr>
        <w:t>општина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место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седишта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2CB114B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телефона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20754CD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пошту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4F116DB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(БПГ),</w:t>
      </w:r>
    </w:p>
    <w:p w14:paraId="6AAB7D6A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(ХИД)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базе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обележавању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D791D">
        <w:rPr>
          <w:rFonts w:ascii="Times New Roman" w:hAnsi="Times New Roman" w:cs="Times New Roman"/>
          <w:color w:val="000000"/>
        </w:rPr>
        <w:t>даљем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D791D">
        <w:rPr>
          <w:rFonts w:ascii="Times New Roman" w:hAnsi="Times New Roman" w:cs="Times New Roman"/>
          <w:color w:val="000000"/>
        </w:rPr>
        <w:t>Централна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база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>);</w:t>
      </w:r>
    </w:p>
    <w:p w14:paraId="4FF74D95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кланици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Аутономне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покрајине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Косово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Метохија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D791D">
        <w:rPr>
          <w:rFonts w:ascii="Times New Roman" w:hAnsi="Times New Roman" w:cs="Times New Roman"/>
          <w:color w:val="000000"/>
        </w:rPr>
        <w:t>даљем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D791D">
        <w:rPr>
          <w:rFonts w:ascii="Times New Roman" w:hAnsi="Times New Roman" w:cs="Times New Roman"/>
          <w:color w:val="000000"/>
        </w:rPr>
        <w:t>коме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предмет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5D68338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BD791D">
        <w:rPr>
          <w:rFonts w:ascii="Times New Roman" w:hAnsi="Times New Roman" w:cs="Times New Roman"/>
          <w:color w:val="000000"/>
        </w:rPr>
        <w:t>назив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018EB40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BD791D">
        <w:rPr>
          <w:rFonts w:ascii="Times New Roman" w:hAnsi="Times New Roman" w:cs="Times New Roman"/>
          <w:color w:val="000000"/>
        </w:rPr>
        <w:t>матични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5A9DBB39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BD791D">
        <w:rPr>
          <w:rFonts w:ascii="Times New Roman" w:hAnsi="Times New Roman" w:cs="Times New Roman"/>
          <w:color w:val="000000"/>
        </w:rPr>
        <w:t>адресу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D791D">
        <w:rPr>
          <w:rFonts w:ascii="Times New Roman" w:hAnsi="Times New Roman" w:cs="Times New Roman"/>
          <w:color w:val="000000"/>
        </w:rPr>
        <w:t>општина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место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D791D">
        <w:rPr>
          <w:rFonts w:ascii="Times New Roman" w:hAnsi="Times New Roman" w:cs="Times New Roman"/>
          <w:color w:val="000000"/>
        </w:rPr>
        <w:t>седишта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70246082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предмет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3E97489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BD791D">
        <w:rPr>
          <w:rFonts w:ascii="Times New Roman" w:hAnsi="Times New Roman" w:cs="Times New Roman"/>
          <w:color w:val="000000"/>
        </w:rPr>
        <w:t>врсту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4CC9DD18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BD791D">
        <w:rPr>
          <w:rFonts w:ascii="Times New Roman" w:hAnsi="Times New Roman" w:cs="Times New Roman"/>
          <w:color w:val="000000"/>
        </w:rPr>
        <w:t>укупан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предмет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7733B9A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кланици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свакој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појединачној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166751D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lastRenderedPageBreak/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датум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издавања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пријемнице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14BC0BF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0D23A833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укупна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телесна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2BF8591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просечна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телесна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717F63E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бројеви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ушних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маркица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базе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3F299CB8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упућена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сваком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појединачном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рачуну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фактури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сваком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појединачном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признаници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3A6E110A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датум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издавања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рачуна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фактуре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листа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признанице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2B909070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6401F06D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укупна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телесна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39717A5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просечна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телесна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516F0EE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бројеви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ушних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маркица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базе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2C9CAA90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кривичном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материјалном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одговорношћу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11481195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обележавање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бази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14D74E9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предмет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била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власништву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22EF631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предмет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кланици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упућена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свему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наведено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54B9D1A2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77AC10F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наведени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истинити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1F148B49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BD791D">
        <w:rPr>
          <w:rFonts w:ascii="Times New Roman" w:hAnsi="Times New Roman" w:cs="Times New Roman"/>
          <w:color w:val="000000"/>
        </w:rPr>
        <w:t>потпис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склaду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2302D2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образац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садржи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и:</w:t>
      </w:r>
    </w:p>
    <w:p w14:paraId="3D4250B9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упознат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одредбом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општем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гласник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РСˮ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бр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. 18/16, 95/18 – </w:t>
      </w:r>
      <w:proofErr w:type="spellStart"/>
      <w:r w:rsidRPr="00BD791D">
        <w:rPr>
          <w:rFonts w:ascii="Times New Roman" w:hAnsi="Times New Roman" w:cs="Times New Roman"/>
          <w:color w:val="000000"/>
        </w:rPr>
        <w:t>аутентично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тумачење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2/23 – УС),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покреће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осим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року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сматрати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неуредним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lastRenderedPageBreak/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рачуну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341F8B5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</w:p>
    <w:p w14:paraId="39327DE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упознат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одредбом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општем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покреће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осим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року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сматрати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неуредним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6114B7D8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образац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садржи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чијим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избором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изршио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попуњавање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2DDCAC2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5.</w:t>
      </w:r>
    </w:p>
    <w:p w14:paraId="41B866E4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образац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кланици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коме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тачка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прилаже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форми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пријемнице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откупљена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спецификацијом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оверена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кланице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ветеринарског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Прилогу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Пријемница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откупљена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овај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чини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његов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део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5A5020C1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образац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упућена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коме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тачка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прилаже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форми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4F05637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листа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признанице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рачуна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фактуре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издате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откуп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превоз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1CC63795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међународне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ветеринарске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потврде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D791D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ветеринарског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домаћа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намењена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клању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након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отпреме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упућена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7B4F170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списка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упућена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оверена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ветеринарског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243482AD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lastRenderedPageBreak/>
        <w:t xml:space="preserve">4)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царинске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издате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царински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D85F3CD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образац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власништву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држана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држаоца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D791D">
        <w:rPr>
          <w:rFonts w:ascii="Times New Roman" w:hAnsi="Times New Roman" w:cs="Times New Roman"/>
          <w:color w:val="000000"/>
        </w:rPr>
        <w:t>кооперанта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BD791D">
        <w:rPr>
          <w:rFonts w:ascii="Times New Roman" w:hAnsi="Times New Roman" w:cs="Times New Roman"/>
          <w:color w:val="000000"/>
        </w:rPr>
        <w:t>коме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тачка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прилаже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форми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копија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уговора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између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држаоца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овереног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бележника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садржи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66E6C7DA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налази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3E8DE1D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D791D">
        <w:rPr>
          <w:rFonts w:ascii="Times New Roman" w:hAnsi="Times New Roman" w:cs="Times New Roman"/>
          <w:color w:val="000000"/>
        </w:rPr>
        <w:t>име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презиме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држаоца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641EDC29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D791D">
        <w:rPr>
          <w:rFonts w:ascii="Times New Roman" w:hAnsi="Times New Roman" w:cs="Times New Roman"/>
          <w:color w:val="000000"/>
        </w:rPr>
        <w:t>име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презиме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бројевима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њихових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0EF0FAE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бројевима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њихових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ушних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маркица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одговарају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базе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4DD6E409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образац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коме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тачка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прилаже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форми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47F6FED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D791D">
        <w:rPr>
          <w:rFonts w:ascii="Times New Roman" w:hAnsi="Times New Roman" w:cs="Times New Roman"/>
          <w:color w:val="000000"/>
        </w:rPr>
        <w:t>очитана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биометријска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карта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699C5D11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D791D">
        <w:rPr>
          <w:rFonts w:ascii="Times New Roman" w:hAnsi="Times New Roman" w:cs="Times New Roman"/>
          <w:color w:val="000000"/>
        </w:rPr>
        <w:t>очитана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биометријска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карта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власник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предмет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2EAB4DE3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D791D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. 1–3.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CD7C8D7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6.</w:t>
      </w:r>
    </w:p>
    <w:p w14:paraId="7D40D5F7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Учесник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аутентикује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3B5D5A4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аутентикацију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учесника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75DC8F0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утврђивање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идентитета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учесника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општењу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шема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различитог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нивоа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налога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учеснику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додељен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порталу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33F262E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D791D">
        <w:rPr>
          <w:rFonts w:ascii="Times New Roman" w:hAnsi="Times New Roman" w:cs="Times New Roman"/>
          <w:color w:val="000000"/>
        </w:rPr>
        <w:t>општењу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идентитет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утврђен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основу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шеме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високог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нивоа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потпис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странке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случају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шема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lastRenderedPageBreak/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средњег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нивоа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смислу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друкчије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4C9D95D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користећи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високог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нивоа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квалификовани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EA4B89F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7.</w:t>
      </w:r>
    </w:p>
    <w:p w14:paraId="104BA513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Физичко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41088060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пројектовање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усклађивање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развој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функционисање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система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налог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E31BEB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повуче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сагласност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прихватању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услова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брише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затвара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његов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налог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556F26A9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Након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обезбеђује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сандучића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42AFEA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Учесник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пријављује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портал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путем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налога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Портала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D791D">
        <w:rPr>
          <w:rFonts w:ascii="Times New Roman" w:hAnsi="Times New Roman" w:cs="Times New Roman"/>
          <w:color w:val="000000"/>
        </w:rPr>
        <w:t>даљем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тексту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D791D">
        <w:rPr>
          <w:rFonts w:ascii="Times New Roman" w:hAnsi="Times New Roman" w:cs="Times New Roman"/>
          <w:color w:val="000000"/>
        </w:rPr>
        <w:t>Портал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представља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место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аутентикацију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079388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учесник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Порталу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адреси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eid.gov.rs, </w:t>
      </w:r>
      <w:proofErr w:type="spellStart"/>
      <w:r w:rsidRPr="00BD791D">
        <w:rPr>
          <w:rFonts w:ascii="Times New Roman" w:hAnsi="Times New Roman" w:cs="Times New Roman"/>
          <w:color w:val="000000"/>
        </w:rPr>
        <w:t>путем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квалификованог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шалтеру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Регистрационог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обавезно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параметара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активацију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мобилне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апликације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ConsentID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657A21F4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Техничку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подршку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вези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поступањем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пружа</w:t>
      </w:r>
      <w:proofErr w:type="spellEnd"/>
      <w:r w:rsidRPr="00BD791D">
        <w:rPr>
          <w:rFonts w:ascii="Times New Roman" w:hAnsi="Times New Roman" w:cs="Times New Roman"/>
          <w:color w:val="000000"/>
        </w:rPr>
        <w:t>:</w:t>
      </w:r>
    </w:p>
    <w:p w14:paraId="19756D1A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D791D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48E741A8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саветодавне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лиценцу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уписано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саветодаваца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стручних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области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D791D">
        <w:rPr>
          <w:rFonts w:ascii="Times New Roman" w:hAnsi="Times New Roman" w:cs="Times New Roman"/>
          <w:color w:val="000000"/>
        </w:rPr>
        <w:t>;</w:t>
      </w:r>
    </w:p>
    <w:p w14:paraId="6ACEA13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D791D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локалне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месту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седишта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140CD837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Ближа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техничка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упутства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корисничког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налога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пријави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систем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попуњавања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обрасца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пружања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подршке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објављују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огласној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табли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арарна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плаћања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Булевар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краља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Александра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84, 11000 </w:t>
      </w:r>
      <w:proofErr w:type="spellStart"/>
      <w:r w:rsidRPr="00BD791D">
        <w:rPr>
          <w:rFonts w:ascii="Times New Roman" w:hAnsi="Times New Roman" w:cs="Times New Roman"/>
          <w:color w:val="000000"/>
        </w:rPr>
        <w:t>Београд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веб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презентацији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адреси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https://eagrar.gov.rs.</w:t>
      </w:r>
    </w:p>
    <w:p w14:paraId="095E5029" w14:textId="77777777" w:rsidR="004B38C7" w:rsidRDefault="004B38C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BCF5FDD" w14:textId="59BB815A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8.</w:t>
      </w:r>
    </w:p>
    <w:p w14:paraId="6D9D8FBA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Размена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поднесака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путем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осим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садрже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тајне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означени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степеном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тајности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тајност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509FC8B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између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власти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путем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поште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сервисне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магистрале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квалификоване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путем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1CE49902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Акта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вези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доносе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имаоци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овлашћења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форми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8CEAAD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претходно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изворно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сачињен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папирној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форми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примерак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дигитализован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оверен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B7D782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потребе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ималац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овлашћења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вршити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потврђивање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истоветности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изворним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актом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сачињеним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издао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1778A11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Овлашћени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је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потврдило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истоветност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оригиналом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сачињеним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чува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изворни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9C9505E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9.</w:t>
      </w:r>
    </w:p>
    <w:p w14:paraId="0B1CEB89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извршавања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преузима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установљене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без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додатне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провере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осим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означио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статусу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провере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6F84A1E3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њихово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преузимање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сервисне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магистрале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прихваћеног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основу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идентификатора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основу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могу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упоредити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матични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грађана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додељује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Централни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обавезног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социјалног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осигураника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матични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порески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4E43675E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сваког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идентитету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овлашћеног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матични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грађана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лично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D791D">
        <w:rPr>
          <w:rFonts w:ascii="Times New Roman" w:hAnsi="Times New Roman" w:cs="Times New Roman"/>
          <w:color w:val="000000"/>
        </w:rPr>
        <w:t>датуму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времену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скупу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приступало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AE15C31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. 1−3.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врше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увид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прибављају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обрађују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уступају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води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29A6B84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10.</w:t>
      </w:r>
    </w:p>
    <w:p w14:paraId="791B64C4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обрасца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других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поднесака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портала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канцеларијско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органа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државне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AF5ADCA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Пријем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евидентира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писарници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E18EF3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Потврда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шаље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одмах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поднесак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послат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садржи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обавештење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датум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време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напредни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печат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D9E83E7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Време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време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одређено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квалификованим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временским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жигом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1536E3C0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Кроз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аутоматски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додељује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сваки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предузимају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радње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доносе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75CC0461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Поред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аутоматски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додељеног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кроз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оквиру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кроз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додељивати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бројеве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ознаке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интерног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карактера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ED0EFF4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11.</w:t>
      </w:r>
    </w:p>
    <w:p w14:paraId="20924114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проверава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попуњен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приложена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уредна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као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унети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одговарају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приложене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5D76326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попуњен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није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приложена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уредна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унети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одговарају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неуредног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тај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року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може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бити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краћи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осам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пријема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обавештења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упозорење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последице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ако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року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општи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53037C33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основу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уредно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поднетог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услове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развоју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доноси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износу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утврђеном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развоју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налаже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исплата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рачун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отворен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банке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пријављен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1E99F682" w14:textId="77777777" w:rsidR="004B38C7" w:rsidRDefault="004B38C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7C090BC" w14:textId="6F11F2BC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12.</w:t>
      </w:r>
    </w:p>
    <w:p w14:paraId="417D5ED4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Решење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закључак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обавештење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еАграр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путем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овим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1ABBF64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BD791D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34DA00A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сноси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BD791D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облику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A5899CF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Електронско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врши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сандучић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управе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другим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путем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законом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услуге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4116415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13.</w:t>
      </w:r>
    </w:p>
    <w:p w14:paraId="4A3930DA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члана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D791D">
        <w:rPr>
          <w:rFonts w:ascii="Times New Roman" w:hAnsi="Times New Roman" w:cs="Times New Roman"/>
          <w:color w:val="000000"/>
        </w:rPr>
        <w:t>став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захтев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првом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јавном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позиву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BD791D">
        <w:rPr>
          <w:rFonts w:ascii="Times New Roman" w:hAnsi="Times New Roman" w:cs="Times New Roman"/>
          <w:color w:val="000000"/>
        </w:rPr>
        <w:t>години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подноси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грла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предата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кланици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или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извезена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упућена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територију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BD791D">
        <w:rPr>
          <w:rFonts w:ascii="Times New Roman" w:hAnsi="Times New Roman" w:cs="Times New Roman"/>
          <w:color w:val="000000"/>
        </w:rPr>
        <w:t>КиМ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D791D">
        <w:rPr>
          <w:rFonts w:ascii="Times New Roman" w:hAnsi="Times New Roman" w:cs="Times New Roman"/>
          <w:color w:val="000000"/>
        </w:rPr>
        <w:t>јула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BD791D">
        <w:rPr>
          <w:rFonts w:ascii="Times New Roman" w:hAnsi="Times New Roman" w:cs="Times New Roman"/>
          <w:color w:val="000000"/>
        </w:rPr>
        <w:t>године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F13F004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14.</w:t>
      </w:r>
    </w:p>
    <w:p w14:paraId="0AEB949C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Захтеви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поднети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ступања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снагу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решаваће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складу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који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био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снази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време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њиховог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0AB0DF45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15.</w:t>
      </w:r>
    </w:p>
    <w:p w14:paraId="3E720F31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Даном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ступања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снагу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овог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важи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D791D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начину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D791D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за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јунади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свиња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јагњади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D791D">
        <w:rPr>
          <w:rFonts w:ascii="Times New Roman" w:hAnsi="Times New Roman" w:cs="Times New Roman"/>
          <w:color w:val="000000"/>
        </w:rPr>
        <w:t>тов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јаради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гласник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РСˮ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791D">
        <w:rPr>
          <w:rFonts w:ascii="Times New Roman" w:hAnsi="Times New Roman" w:cs="Times New Roman"/>
          <w:color w:val="000000"/>
        </w:rPr>
        <w:t>бр</w:t>
      </w:r>
      <w:proofErr w:type="spellEnd"/>
      <w:r w:rsidRPr="00BD791D">
        <w:rPr>
          <w:rFonts w:ascii="Times New Roman" w:hAnsi="Times New Roman" w:cs="Times New Roman"/>
          <w:color w:val="000000"/>
        </w:rPr>
        <w:t>. 104/18, 3/19 и 139/22).</w:t>
      </w:r>
    </w:p>
    <w:p w14:paraId="38BD9C53" w14:textId="77777777" w:rsidR="00884B39" w:rsidRPr="00BD791D" w:rsidRDefault="00BD79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Члан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16.</w:t>
      </w:r>
    </w:p>
    <w:p w14:paraId="5D22E79B" w14:textId="77777777" w:rsidR="00884B39" w:rsidRPr="00BD791D" w:rsidRDefault="00BD791D" w:rsidP="004B38C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Овај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ступа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снагу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од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дана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D791D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Србијеˮ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14:paraId="1F1BFBC7" w14:textId="77777777" w:rsidR="00884B39" w:rsidRPr="00BD791D" w:rsidRDefault="00BD791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Број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110-00-68/2023-09</w:t>
      </w:r>
    </w:p>
    <w:p w14:paraId="0F96CC4D" w14:textId="77777777" w:rsidR="00884B39" w:rsidRPr="00BD791D" w:rsidRDefault="00BD791D">
      <w:pPr>
        <w:spacing w:after="150"/>
        <w:jc w:val="right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D791D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, 21. </w:t>
      </w:r>
      <w:proofErr w:type="spellStart"/>
      <w:r w:rsidRPr="00BD791D">
        <w:rPr>
          <w:rFonts w:ascii="Times New Roman" w:hAnsi="Times New Roman" w:cs="Times New Roman"/>
          <w:color w:val="000000"/>
        </w:rPr>
        <w:t>априла</w:t>
      </w:r>
      <w:proofErr w:type="spellEnd"/>
      <w:r w:rsidRPr="00BD791D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D791D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272852A2" w14:textId="77777777" w:rsidR="00884B39" w:rsidRPr="00BD791D" w:rsidRDefault="00BD791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D791D">
        <w:rPr>
          <w:rFonts w:ascii="Times New Roman" w:hAnsi="Times New Roman" w:cs="Times New Roman"/>
          <w:color w:val="000000"/>
        </w:rPr>
        <w:t>,</w:t>
      </w:r>
    </w:p>
    <w:p w14:paraId="50F6CE38" w14:textId="77777777" w:rsidR="00884B39" w:rsidRPr="00BD791D" w:rsidRDefault="00BD791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D791D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BD791D">
        <w:rPr>
          <w:rFonts w:ascii="Times New Roman" w:hAnsi="Times New Roman" w:cs="Times New Roman"/>
          <w:b/>
          <w:color w:val="000000"/>
        </w:rPr>
        <w:t>,</w:t>
      </w:r>
      <w:r w:rsidRPr="00BD79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791D">
        <w:rPr>
          <w:rFonts w:ascii="Times New Roman" w:hAnsi="Times New Roman" w:cs="Times New Roman"/>
          <w:color w:val="000000"/>
        </w:rPr>
        <w:t>с.р</w:t>
      </w:r>
      <w:proofErr w:type="spellEnd"/>
      <w:r w:rsidRPr="00BD791D">
        <w:rPr>
          <w:rFonts w:ascii="Times New Roman" w:hAnsi="Times New Roman" w:cs="Times New Roman"/>
          <w:color w:val="000000"/>
        </w:rPr>
        <w:t>.</w:t>
      </w:r>
    </w:p>
    <w:p w14:paraId="27520B1E" w14:textId="77777777" w:rsidR="00884B39" w:rsidRPr="00BD791D" w:rsidRDefault="00BD791D">
      <w:pPr>
        <w:spacing w:after="150"/>
        <w:rPr>
          <w:rFonts w:ascii="Times New Roman" w:hAnsi="Times New Roman" w:cs="Times New Roman"/>
        </w:rPr>
      </w:pPr>
      <w:r w:rsidRPr="00BD791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1815066" wp14:editId="28F60C02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B39" w:rsidRPr="00BD79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39"/>
    <w:rsid w:val="004B38C7"/>
    <w:rsid w:val="00884B39"/>
    <w:rsid w:val="00B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E66C"/>
  <w15:docId w15:val="{81047AC8-A7DF-4C81-81B2-BB34E71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3554</Words>
  <Characters>20261</Characters>
  <Application>Microsoft Office Word</Application>
  <DocSecurity>0</DocSecurity>
  <Lines>168</Lines>
  <Paragraphs>47</Paragraphs>
  <ScaleCrop>false</ScaleCrop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2023-04-21T07:19:00Z</dcterms:created>
  <dcterms:modified xsi:type="dcterms:W3CDTF">2023-04-21T07:19:00Z</dcterms:modified>
</cp:coreProperties>
</file>