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44F6" w14:textId="77777777" w:rsidR="00A26D08" w:rsidRPr="00E66834" w:rsidRDefault="004F5081" w:rsidP="00E6683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7a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41/09, 10/1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101/16),</w:t>
      </w:r>
    </w:p>
    <w:p w14:paraId="2E0D7C4B" w14:textId="77777777" w:rsidR="00A26D08" w:rsidRPr="00E66834" w:rsidRDefault="004F5081" w:rsidP="00E6683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56660470" w14:textId="77777777" w:rsidR="00A26D08" w:rsidRPr="007F5357" w:rsidRDefault="004F5081" w:rsidP="00E66834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>ПРАВИЛНИК</w:t>
      </w:r>
    </w:p>
    <w:p w14:paraId="22C5298F" w14:textId="77777777" w:rsidR="00A26D08" w:rsidRPr="007F5357" w:rsidRDefault="004F5081" w:rsidP="00E66834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>изменама</w:t>
      </w:r>
      <w:proofErr w:type="spellEnd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>допунама</w:t>
      </w:r>
      <w:proofErr w:type="spellEnd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>Правилника</w:t>
      </w:r>
      <w:proofErr w:type="spellEnd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ИПАРД </w:t>
      </w:r>
      <w:proofErr w:type="spellStart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>подстицајима</w:t>
      </w:r>
      <w:proofErr w:type="spellEnd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spellEnd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>инвестиције</w:t>
      </w:r>
      <w:proofErr w:type="spellEnd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>физичку</w:t>
      </w:r>
      <w:proofErr w:type="spellEnd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>имовину</w:t>
      </w:r>
      <w:proofErr w:type="spellEnd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>пољопривредних</w:t>
      </w:r>
      <w:proofErr w:type="spellEnd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F5357">
        <w:rPr>
          <w:rFonts w:ascii="Times New Roman" w:hAnsi="Times New Roman" w:cs="Times New Roman"/>
          <w:b/>
          <w:color w:val="000000"/>
          <w:sz w:val="28"/>
          <w:szCs w:val="28"/>
        </w:rPr>
        <w:t>газдинстава</w:t>
      </w:r>
      <w:proofErr w:type="spellEnd"/>
    </w:p>
    <w:p w14:paraId="00D829DF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7FCAF818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љопривредних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84/17, 112/17, 78/18 и 67/19),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7)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9CB7BE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„7) </w:t>
      </w:r>
      <w:proofErr w:type="spellStart"/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>реализација</w:t>
      </w:r>
      <w:proofErr w:type="spellEnd"/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радњи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везаних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усл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уга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робу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преузимање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стављање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наменом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1F41BF2E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8)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хмељ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3850024E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9)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7545D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„9) </w:t>
      </w:r>
      <w:proofErr w:type="spellStart"/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>есто</w:t>
      </w:r>
      <w:proofErr w:type="spellEnd"/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опрема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механизација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захтева;ˮ</w:t>
      </w:r>
      <w:proofErr w:type="spellEnd"/>
      <w:proofErr w:type="gram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04812C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16)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замењуј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запетом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DC66CC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16)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17),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B609CF1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„17) </w:t>
      </w:r>
      <w:proofErr w:type="spellStart"/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>садница</w:t>
      </w:r>
      <w:proofErr w:type="spellEnd"/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>воћа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стандардна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стандардна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СА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сертификована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признатих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меља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признавање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047194B5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14629E5A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6197D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„5) je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којa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његовом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њoj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закљученог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закуподавцем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уступиоцем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физичким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јединицом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црквом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манастиром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министарством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надлежним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терете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непокретности;ˮ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0A24D1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5a)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330B03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„5a) je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његовом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угово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закљученог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закуподавцем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уступиоцем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физичким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јединицом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црквом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манастиром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министарством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надлежним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календ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арске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терете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непокретности;ˮ</w:t>
      </w:r>
      <w:proofErr w:type="spellEnd"/>
    </w:p>
    <w:p w14:paraId="723A6EEB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BE1EB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„6)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предузео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ниједну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везану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трошак;ˮ</w:t>
      </w:r>
      <w:proofErr w:type="spellEnd"/>
      <w:proofErr w:type="gram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AE0BC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5,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05D5CF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реализоване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3овог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привремену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ситуацију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грађ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евинском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књигом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изведене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налаз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судског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вештака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грађевинске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утрошак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грађевинских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изведене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пројекта.ˮ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E85937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0CB365DB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воћеˮ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20 ha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јагодастог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100 ha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5731F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hа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258FEE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4–7,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90F48D9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1. и 3.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вoћа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ње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говом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закљученог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закуподавцем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уступиоцем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физичким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јединицом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црквом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манастиром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министарством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надлежним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пољоп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ривреде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терете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6A66D3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1. и 3.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вoћа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упис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аног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F7A89F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1. и 3.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вoћа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поди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зање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вишегодишњег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земљорадничке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задруге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0CB6A6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вoћа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вишегодишњег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засаду.ˮ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C7E4CF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17A19F43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поврће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5 ha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поврћа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заштићеном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простору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100 ha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поврћа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отвор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просторуˮ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677A73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52D14E97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10а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2C0D544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„2)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одобрени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одговарајући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одобрених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држање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кокошака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носиља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експлоатацији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капацитета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200.000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кокошака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носиља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родитељског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кокошака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лаког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типа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одгој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кокошака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носиља;ˮ</w:t>
      </w:r>
      <w:proofErr w:type="spellEnd"/>
      <w:proofErr w:type="gram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C26672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0EE10DF7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10б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грожђе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100 ha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грожђаˮ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E17B98" w14:textId="77777777" w:rsidR="00A26D08" w:rsidRPr="00E66834" w:rsidRDefault="004F5081" w:rsidP="00E6683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674F5F44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13.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06A704" w14:textId="77777777" w:rsidR="00A26D08" w:rsidRPr="00E66834" w:rsidRDefault="004F5081" w:rsidP="00E6683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7942333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B2F0FC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изводљивости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прихватљиви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енергије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обновљивих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1AD3DC13" w14:textId="77777777" w:rsidR="00A26D08" w:rsidRPr="00E66834" w:rsidRDefault="004F5081" w:rsidP="00E6683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4CAE875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7)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8BD90B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9–13,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12682B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реализоване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1–4.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7. и 8.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привремена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ситуац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грађевинском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књигом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изведене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налаз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овлашћеног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судског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вештака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грађевинске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утрошак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грађевинских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изведене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33060B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уграђује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грађевинска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дозвола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употребна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дозвола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озакоњење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7BDEB0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копијом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препис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операт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препис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поседовног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операт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земљишних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књига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1AE82A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катастарск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подиже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уступању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закључен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закуподавцем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уступиоцем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физичким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јединицом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црквом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манастиром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министарством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надлежним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роком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једини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терет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земљишту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епокретности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закуподавца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уступиоца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6949988E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6E5ED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Досадашњи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9. и 10.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 14. и 15.</w:t>
      </w:r>
    </w:p>
    <w:p w14:paraId="703872F5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Досадашњи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10,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15,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9F0495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5)–6,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7. и 8.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грађевинску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10. и 11.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поступак.ˮ</w:t>
      </w:r>
      <w:proofErr w:type="spellEnd"/>
      <w:proofErr w:type="gramEnd"/>
    </w:p>
    <w:p w14:paraId="2F7FB168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50C59E20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19.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категорију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,”.</w:t>
      </w:r>
    </w:p>
    <w:p w14:paraId="48500612" w14:textId="77777777" w:rsidR="00A26D08" w:rsidRPr="00E66834" w:rsidRDefault="004F5081" w:rsidP="00E6683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4105AF37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23.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1FA02F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задругеˮ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50DE53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536DF948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24.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6),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организационих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Mинистaр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ствa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финaнсиja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надлежних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0124E9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</w:p>
    <w:p w14:paraId="6FF1CBBE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26.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10)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запетом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2234B5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10)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11) и 12),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4CC0D1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„11)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изграђен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календарск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терете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8E138E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опрема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уграђена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терете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метног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непокретности.ˮ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90EB5A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</w:p>
    <w:p w14:paraId="27A1C173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29.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3–7,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8725E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вoћа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његовом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власништву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закљученог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закуподавцем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уступиоцем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физичким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јединицом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црквом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манастиром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министарством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надлежним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терете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C4FF0E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вoћа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799F85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1. и 2.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вoћа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издате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добављача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земљорадничке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задруге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предузетника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прив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редних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E9664A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вoћа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вишегодишњег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060ED4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вoћа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вишегодишњег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73D539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густине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посађених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ваку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8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густине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C7CF6F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примило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90%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посађених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постављених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боровнице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саксијама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врећама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супстратом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рачунајући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укупног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посађених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8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густине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одшампан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6DCC77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здравствено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сортно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исправне.ˮ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499D5E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</w:p>
    <w:p w14:paraId="3A26D21A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33.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домаћег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56F6B3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опремањеˮ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опремањеˮ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433E44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3B89FA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„2)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грађевинске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књиге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изградња;ˮ</w:t>
      </w:r>
      <w:proofErr w:type="spellEnd"/>
      <w:proofErr w:type="gramEnd"/>
    </w:p>
    <w:p w14:paraId="6CD29C0B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9–12,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B936EC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копијом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препис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операт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препис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поседовног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операт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земљишних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књига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7CEF59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парцеле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уступању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закључен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закуподавцем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уступиоцем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физичким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јединицом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црквом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манастиром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министарством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надлежним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роком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непокретности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једини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терет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земљишту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катастра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окретности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закуподавца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уступиоца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F70D96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јагода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пољопривредном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земљишту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државној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својини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инвестиционе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одобрење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пољопр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ивреде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D10EAF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и:</w:t>
      </w:r>
    </w:p>
    <w:p w14:paraId="4C2D0539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2E37A5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декларација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квалит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19A0E9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14:paraId="003F011C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супстрата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производни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боровнице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боровнице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саксијама.ˮ</w:t>
      </w:r>
      <w:proofErr w:type="spellEnd"/>
      <w:proofErr w:type="gramEnd"/>
    </w:p>
    <w:p w14:paraId="0C1A495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Досадашњи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7B8077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7)–15),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2, 4, 5. 7, 8. и 9.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07FC4DDC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16.</w:t>
      </w:r>
    </w:p>
    <w:p w14:paraId="7543A60B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F45EBE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власника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77088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3. и 4.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990060F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употребна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дозвола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гласити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лучају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употребна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дозвола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издата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стицања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власништва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45123C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прилажу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оригиналу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овереној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копији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другачије.ˮ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D98F1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Досадашњи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3. и 4.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 5. и 6.</w:t>
      </w:r>
    </w:p>
    <w:p w14:paraId="36544D89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17.</w:t>
      </w:r>
    </w:p>
    <w:p w14:paraId="5B2F604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36.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организационих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Mинистaрствa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финaнсиja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надлежних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одобравањеˮ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8E5A84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18.</w:t>
      </w:r>
    </w:p>
    <w:p w14:paraId="47334D0C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ихватљивих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7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одштампани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84/17, 112/17, 78/18 и 67/19)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7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Обележавање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одштампани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правилн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1FB00F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19.</w:t>
      </w:r>
    </w:p>
    <w:p w14:paraId="58B1FC1A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решаваће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снази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214451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20.</w:t>
      </w:r>
    </w:p>
    <w:p w14:paraId="7A46AD37" w14:textId="77777777" w:rsidR="00A26D08" w:rsidRPr="00E66834" w:rsidRDefault="004F5081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Оваj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0470165D" w14:textId="77777777" w:rsidR="00A26D08" w:rsidRPr="00E66834" w:rsidRDefault="004F50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110-00-00166/2020-09</w:t>
      </w:r>
    </w:p>
    <w:p w14:paraId="5B16992B" w14:textId="77777777" w:rsidR="00A26D08" w:rsidRPr="00E66834" w:rsidRDefault="004F50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14.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0CFEE6FB" w14:textId="77777777" w:rsidR="00A26D08" w:rsidRPr="00E66834" w:rsidRDefault="004F50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9EFF54A" w14:textId="77777777" w:rsidR="00A26D08" w:rsidRPr="00E66834" w:rsidRDefault="004F50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FB5B76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047C5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FE170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8BC33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1CB90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D620B0F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AB2674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0F1FE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0108643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3A12E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7F157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28299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A88D422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3D434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8EE0A4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11DA1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5A1E402" w14:textId="474CC793" w:rsidR="00A26D08" w:rsidRPr="00E66834" w:rsidRDefault="004F50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14:paraId="5EB50F8B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ЛИСТА ПРИХВАТЉИВИХ ИНВЕСТИЦИЈА</w:t>
      </w:r>
      <w:r w:rsidRPr="00E66834">
        <w:rPr>
          <w:rFonts w:ascii="Times New Roman" w:hAnsi="Times New Roman" w:cs="Times New Roman"/>
          <w:sz w:val="24"/>
          <w:szCs w:val="24"/>
        </w:rPr>
        <w:br/>
      </w:r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И ТРОШКОВА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92"/>
      </w:tblGrid>
      <w:tr w:rsidR="00A26D08" w:rsidRPr="00E66834" w14:paraId="332006F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23A3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ОПШТИ ТРОШАК</w:t>
            </w:r>
          </w:p>
        </w:tc>
      </w:tr>
      <w:tr w:rsidR="00A26D08" w:rsidRPr="00E66834" w14:paraId="0DD55CE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88B1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накнаде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инжењере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консултантске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накнаде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8BD159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утицаја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F26E6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ИПАРД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лтантске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1782BE9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изводљивости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везаних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пројекат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бизнис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6D08" w:rsidRPr="00E66834" w14:paraId="2C02506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AB5E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ЛИСТА ПРИХВАТЉИВИХ ТРОШКОВА У ВЕЗИ СА ИЗГРАДЊОМ</w:t>
            </w:r>
          </w:p>
        </w:tc>
      </w:tr>
      <w:tr w:rsidR="00A26D08" w:rsidRPr="00E66834" w14:paraId="06EF072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2D98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ГРАЂЕВИНСКИ РАДОВИ</w:t>
            </w:r>
          </w:p>
        </w:tc>
      </w:tr>
      <w:tr w:rsidR="00A26D08" w:rsidRPr="00E66834" w14:paraId="0ABA0FE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21C3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30400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15C15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Земљани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8A6C3D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0B36FB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Армирано-бетонски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D16ED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Инсталатерски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95D9C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Столарски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6D0F04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Зидарски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9DA73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325766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Кровнопокривачки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F3CEDF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8209A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Противпожарни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хидрантске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6D08" w:rsidRPr="00E66834" w14:paraId="643FD3F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0295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ЗАНАТСКИ РАДОВИ</w:t>
            </w:r>
          </w:p>
        </w:tc>
      </w:tr>
      <w:tr w:rsidR="00A26D08" w:rsidRPr="00E66834" w14:paraId="3B81BC1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2816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Лимарски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1AC60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Столарски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2CA9C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Браварски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7A150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Стаклорезачки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685904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Гипсани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FD9CE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облоге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8786BC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Каменорезачки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CCB8A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Керамички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D4609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Подополагачки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8B5CC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Молерски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тапетарски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71F2E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6D08" w:rsidRPr="00E66834" w14:paraId="0ADA3AB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90B7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 ИНСТАЛАТЕРСКИ РАДОВИ</w:t>
            </w:r>
          </w:p>
        </w:tc>
      </w:tr>
      <w:tr w:rsidR="00A26D08" w:rsidRPr="00E66834" w14:paraId="559B2A5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B277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Електро-инсталациони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F5E7C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C9BEB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A580B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ејања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48B6D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противпожарних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хидрантске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6D08" w:rsidRPr="00E66834" w14:paraId="4FFFD61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3924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ПЕЈЗАЖНИ РАДОВИ И ПРИЛАЗНИ ПУТЕВИ</w:t>
            </w:r>
          </w:p>
        </w:tc>
      </w:tr>
      <w:tr w:rsidR="00A26D08" w:rsidRPr="00E66834" w14:paraId="00DF210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4BC1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екстеријера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A71B89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унутрашњих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тротоара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C3760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Потпорни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0950B4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Асфалтирање</w:t>
            </w:r>
            <w:proofErr w:type="spellEnd"/>
          </w:p>
        </w:tc>
      </w:tr>
    </w:tbl>
    <w:p w14:paraId="3199E7E7" w14:textId="77777777" w:rsidR="00E66834" w:rsidRDefault="00E6683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D01B6" w14:textId="77777777" w:rsidR="00E66834" w:rsidRDefault="00E6683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2C8C9" w14:textId="78624E26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(ЛПТ)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33 (2)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Секторског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поглављем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8.2.8 у ИПАРД II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ЛПТ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II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одр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едбе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II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превладати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ЛПТ.</w:t>
      </w:r>
    </w:p>
    <w:p w14:paraId="0D1966E1" w14:textId="77777777" w:rsidR="00E66834" w:rsidRDefault="00E6683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2525D" w14:textId="77777777" w:rsidR="00E66834" w:rsidRDefault="00E6683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A5C2E" w14:textId="77777777" w:rsidR="00E66834" w:rsidRDefault="00E6683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FEB05" w14:textId="77777777" w:rsidR="00E66834" w:rsidRDefault="00E6683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3D145" w14:textId="77777777" w:rsidR="00E66834" w:rsidRDefault="00E6683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A31AF" w14:textId="01179157" w:rsidR="00E66834" w:rsidRDefault="00E6683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F7194" w14:textId="77777777" w:rsidR="00E66834" w:rsidRDefault="00E6683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D8630" w14:textId="0990C0B9" w:rsidR="00A26D08" w:rsidRPr="00E66834" w:rsidRDefault="004F5081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92"/>
      </w:tblGrid>
      <w:tr w:rsidR="00A26D08" w:rsidRPr="00E66834" w14:paraId="3F8C40A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1A32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 СЕКТОР МЛЕКА</w:t>
            </w:r>
          </w:p>
        </w:tc>
      </w:tr>
      <w:tr w:rsidR="00A26D08" w:rsidRPr="00E66834" w14:paraId="71152E0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A35F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1.1.1.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Изградња</w:t>
            </w:r>
            <w:proofErr w:type="spellEnd"/>
          </w:p>
        </w:tc>
      </w:tr>
      <w:tr w:rsidR="00A26D08" w:rsidRPr="00E66834" w14:paraId="1C92A41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2BE1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 Изградња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измузишта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осемењавање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безбедно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уклања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угинулих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телади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јуница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животињског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порекла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простирке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противпожарни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хидрантска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енергетске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F43B63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CC66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DC961F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CF5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капацитета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одлагање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чврстог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C98482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062B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фиксн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дезинфекционих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баријера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2A1783B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5883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пречишћавање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9A1751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4E63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биогаса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геотермалне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дистрибутивну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DDCE65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5153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унутрашње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паркинг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04A2BC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D198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пресвлачење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6D08" w:rsidRPr="00E66834" w14:paraId="0B8EE4D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E97B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1.1.2.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механизација</w:t>
            </w:r>
            <w:proofErr w:type="spellEnd"/>
          </w:p>
        </w:tc>
      </w:tr>
      <w:tr w:rsidR="00A26D08" w:rsidRPr="00E66834" w14:paraId="6B05727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E60D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хлађење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4CF95F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61E9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чврстог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умпе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пражњење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сепараторе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чврстог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чврстог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F56968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7FC4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1.1.2.3.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476598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86A6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5DFF7A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4F8F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боксове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халтере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C9ABB7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D301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затварање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пролаза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шталама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CD1173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5DD2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храњење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напајање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истовар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млинови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блендери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мешаоне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дозатори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концентровану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екстрактори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ртери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дозатори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кабасту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појилице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балирке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омотачи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силажни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комбајн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сакупљачи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растурачи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5957A7D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4D68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тељење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телади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0F05677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E4A4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1.1.2.9.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простирке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532A61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EB42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1.1.2.10.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4D2BA3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AC3B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1.1.2.11.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рампе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истовар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усмеравање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обуздавање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084DEE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DAF8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1.1.2.12.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ретман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382377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861F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1.1.2.13.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прскање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летњих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врућина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BA078E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68CB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1.1.2.14.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говеда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EF7CE8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B39D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1.1.2.15.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AA8963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B7C9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1.1.2.16.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безбедно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уклањање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угинулих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F67BC6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857A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1.1.2.17.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хемијски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биолошки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третман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E73B54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34BE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1.1.2.18.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спречавање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загађења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ваздуха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3D9FF6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D84B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1.1.2.19.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биогаса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геотермалне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дистрибутивну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0069D9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7196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1.1.2.20.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превенцију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A14CE4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7CE5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1.1.2.21.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противпожарну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алармни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F9AB36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B5E3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1.1.2.22.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пашњ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CD01F3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0880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1.1.2.23.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пресвлачење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0F283F1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A0ED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1.1.2.24.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465641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978A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1.1.2.25.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пуњење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F933E4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DE1F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1.1.2.26. </w:t>
            </w:r>
            <w:r w:rsidRPr="00E668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IT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хардвер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14:paraId="5EC96A22" w14:textId="3724EC5F" w:rsidR="00A26D08" w:rsidRDefault="004F5081" w:rsidP="00E6683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грађење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доградњу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реконструкцију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санацију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адаптацију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националним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планирању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72/09, 81/09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64/10 – УС, 24/11, 121/12, 42/13 – УС, 50/13 – УС, 98/13 – УС, 132/14, 145/14, 83/18, 31/19, 37/19 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9/20)</w:t>
      </w:r>
    </w:p>
    <w:p w14:paraId="1E8CC0EE" w14:textId="77777777" w:rsidR="00E66834" w:rsidRPr="00E66834" w:rsidRDefault="00E66834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92"/>
      </w:tblGrid>
      <w:tr w:rsidR="00A26D08" w:rsidRPr="00E66834" w14:paraId="517ADB7F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97E9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 СЕКТОР МЕСА</w:t>
            </w:r>
          </w:p>
        </w:tc>
      </w:tr>
      <w:tr w:rsidR="00A26D08" w:rsidRPr="00E66834" w14:paraId="43A8349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3733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1.2.1.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Изградња</w:t>
            </w:r>
            <w:proofErr w:type="spellEnd"/>
          </w:p>
        </w:tc>
      </w:tr>
      <w:tr w:rsidR="00A26D08" w:rsidRPr="00E66834" w14:paraId="75C1269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73BE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осемењавање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прасилишта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одгајивалишта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товилишта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гајење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подмлатка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безбедно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одлагање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угинулих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животињског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порекла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остирке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противпожарни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хидрантска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енергетске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FAAFBB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15DD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572458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7952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одлагање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чврстог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1C1BC6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0FFC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дезинфекционих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баријера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2F6FBD0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4A08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пречишћавање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205C15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39FC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биомасе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биогаса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геотермалне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дистрибутивну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F3EAAA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68F2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1.2.1.7.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унутрашње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паркинг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2FB5AF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4A5D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пресвлачење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6D08" w:rsidRPr="00E66834" w14:paraId="4FD48C6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E57A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1.2.2.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механизација</w:t>
            </w:r>
            <w:proofErr w:type="spellEnd"/>
          </w:p>
        </w:tc>
      </w:tr>
      <w:tr w:rsidR="00A26D08" w:rsidRPr="00E66834" w14:paraId="40ED96D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B789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чврстог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пражњење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сепараторе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чврстог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чврстог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полутечни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4B2E75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07E1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EE88B2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2C9E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207265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ED75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боксове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халтере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4C291B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7221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прасилишта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одгајивалишта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крмаче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вепрове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осемењавање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прашење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B80A39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CBB0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затварање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пролаза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штали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0CFA3C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07E7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храњење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напајање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истовар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млинови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блендери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мешаоне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дозатори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концентровану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екстрактори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дозатори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кабасту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појилице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балирке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омотачи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силажни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комбајн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прикључни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сакупљачи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растурачи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7423796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B8E6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простирке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5C8370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49A1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1.2.2.9.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CDE96A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2E24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1.2.2.10.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рампе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истовар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усмеравање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обуздавање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CC4701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56F1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1.2.2.11.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третман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F1BAC4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D2A4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1.2.2.12.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прскање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летњих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врућина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FFFE54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DDCE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1.2.2.13.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73CE2C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BB57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1.2.2.14.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D7CB73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3E81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1.2.2.15.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безбедно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уклањање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угинулих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побољшање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биосигурносних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7E4415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D9D9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1.2.2.16.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хемијски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биолошки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третман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DA846E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B6E0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1.2.2.17.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спречавање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загађења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ваздуха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280BBF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4CF4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1.2.2.18.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биогаса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геотермалне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дистрибутивну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DAD4B8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7150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1.2.2.19.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превенцију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094B9C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88D6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1.2.2.20.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противпожарну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„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вештачку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квочку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живинарнике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алармни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D98892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6C9C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1.2.2.21.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родитељског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50D3D5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2622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1.2.2.22.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пашњаке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C0A064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779D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1.2.2.23.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пресвлачење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78E8F1D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F64C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1.2.2.24. </w:t>
            </w:r>
            <w:r w:rsidRPr="00E668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IT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хардвер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6D08" w:rsidRPr="00E66834" w14:paraId="08E7C60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39C8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1.3.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ВОЋА И ПОВРЋА</w:t>
            </w:r>
          </w:p>
        </w:tc>
      </w:tr>
      <w:tr w:rsidR="00A26D08" w:rsidRPr="00E66834" w14:paraId="4CB7FE6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4A0C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1.3.1.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Изградња</w:t>
            </w:r>
            <w:proofErr w:type="spellEnd"/>
          </w:p>
        </w:tc>
      </w:tr>
      <w:tr w:rsidR="00A26D08" w:rsidRPr="00E66834" w14:paraId="19B415D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6A92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прекривени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стаклом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вишегодишња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µm)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климатизације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противпожарни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хидрант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енергетски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94E793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57B7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8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ULO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хладњаче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8CF6F6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C3B6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1.3.1.3.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микро-резервоаре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водозахвата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црпљење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језера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акумулација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5BD8E4F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28B5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воћњацима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39A8FE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4DFC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D52108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FF90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биогаса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геотермалне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85ED27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2179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унутрашње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паркинг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3F6921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C1EC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капацитета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пресвлачење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7B7A5E1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F3A3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1.3.1.9.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прекривених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стаклом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расадничарској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резница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калемљење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калемарница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стратификала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грејним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расадничарску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њача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контролисаном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климатизације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противпожарни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хидрантска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енергетски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6D08" w:rsidRPr="00E66834" w14:paraId="3118FEE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7DAF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1.3.2.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механизација</w:t>
            </w:r>
            <w:proofErr w:type="spellEnd"/>
          </w:p>
        </w:tc>
      </w:tr>
      <w:tr w:rsidR="00A26D08" w:rsidRPr="00E66834" w14:paraId="77AAB74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748A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1.3.2.1.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капацитета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пресвлачење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013BD39F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6411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0224E7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21A2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црева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прскалице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распршиваче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капаљке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филтрирање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фертиригацију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водорастворивим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ђубривима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намотавање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црева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C65809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A149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1.3.3.2.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фертилизацију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опрашивање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25F0D8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3B5B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додатно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осветљење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засењивање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BDB2B2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73BB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5411A4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4710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малчирање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третман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расада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A61C31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9A52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хидропоничну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80D0CA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59E0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прскалице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прскалице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ваздушном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замагљиваче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орошиваче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8CB232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B117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обогаћивање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угљен-диоксидом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5D525C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F9BB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1.3.3.9.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посебних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микроклиматских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противпожарну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алармне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убира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класификацију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4646D1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61D0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1.3.3.10.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пластеника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стакленика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прихватљиве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вишегодишње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µm);</w:t>
            </w:r>
          </w:p>
        </w:tc>
      </w:tr>
      <w:tr w:rsidR="00A26D08" w:rsidRPr="00E66834" w14:paraId="2882883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8B84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EEF570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0426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принудну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920E46F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9C46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8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ULO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хладњаче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33CE332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84C9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хлађење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замрзавање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6A692B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CA51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Посебна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бераче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тракасте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бербу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бербу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тресаче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покретне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бербу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BAC786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6454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контејнери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изузев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гајби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7ACB4A9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2F4E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8847C4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A686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1487F8F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FA9F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9894E8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837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1.3.4.9.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дробљење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орезивање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DC8344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59D8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воћњацима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BCD263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98C0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ограђивање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ECC81A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088C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црева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прскалице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распршивачи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филтрирање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фертилизацију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водорастворивим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ђубривима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фертиригацију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намотавање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црева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46F119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7B10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метеоролошке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</w:p>
        </w:tc>
      </w:tr>
      <w:tr w:rsidR="00A26D08" w:rsidRPr="00E66834" w14:paraId="4424B22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2A29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1.3.9.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биогаса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геотермалне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дистрибутивну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CAE444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2811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1.3.10.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стубова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вишегодишњег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8CA273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E9FE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фитосанитарних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расадничарску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904582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FDE0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мрежанике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третман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врућом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расадничарску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3606DA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5B15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хемијски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биолошки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третман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1D24CA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AA75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1.3.14. </w:t>
            </w:r>
            <w:r w:rsidRPr="00E668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IT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хардвер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6D08" w:rsidRPr="00E66834" w14:paraId="42DF626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3AEA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1.4. СЕКТОР ОСТАЛИ УСЕВИ</w:t>
            </w:r>
          </w:p>
        </w:tc>
      </w:tr>
      <w:tr w:rsidR="00A26D08" w:rsidRPr="00E66834" w14:paraId="1027D1C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E01C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1.4.1.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Изградња</w:t>
            </w:r>
            <w:proofErr w:type="spellEnd"/>
          </w:p>
        </w:tc>
      </w:tr>
      <w:tr w:rsidR="00A26D08" w:rsidRPr="00E66834" w14:paraId="652E89C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814B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1.4.1.1.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сушарама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0AC67A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7F84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1.4.1.2.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унутрашње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паркинг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8CAAA3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048E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1.4.1.3.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капацитета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пресвлачење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2CEA196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05B4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1.4.1.4.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биогаса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геотермалне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дистрибутивну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6D08" w:rsidRPr="00E66834" w14:paraId="57A9461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CFB8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1.4.2.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механизација</w:t>
            </w:r>
            <w:proofErr w:type="spellEnd"/>
          </w:p>
        </w:tc>
      </w:tr>
      <w:tr w:rsidR="00A26D08" w:rsidRPr="00E66834" w14:paraId="70A4B7A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31CC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1.4.2.1.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истовар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манипулац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EE4397F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6003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1.4.2.2.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Унутрашња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1C447E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E711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1.4.2.3.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Екстрактори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5D0F7F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85C7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1.4.2.4.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излазни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97F7DA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555F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1.4.2.5.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98EC23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568B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1.4.2.6.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7673145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CB4D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1.4.2.7.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капацитета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пресвлачење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31CB3EBF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0453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1.4.2.8.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биогаса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геотермалне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дистрибутивну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4AD715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2E5F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1.4.2.9. </w:t>
            </w:r>
            <w:r w:rsidRPr="00E668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IT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хардвер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6D08" w:rsidRPr="00E66834" w14:paraId="3CE9F36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15E4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 СЕКТОР ЈАЈА</w:t>
            </w:r>
          </w:p>
        </w:tc>
      </w:tr>
      <w:tr w:rsidR="00A26D08" w:rsidRPr="00E66834" w14:paraId="7DCEC23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B7FB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1.5.1.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Изградња</w:t>
            </w:r>
            <w:proofErr w:type="spellEnd"/>
          </w:p>
        </w:tc>
      </w:tr>
      <w:tr w:rsidR="00A26D08" w:rsidRPr="00E66834" w14:paraId="5342400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E20E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1.5.1.1.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кокошака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безбедно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уклањање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угинулих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животињског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порекла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простирке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климатизације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противпожарни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хидрантска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енергетске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1CAD1C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EFFD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1.5.1.2.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везаних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хлађење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означавање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35D2834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D6E0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1.5.1.3.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29E981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3BE0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1.5.1.4.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одлагање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чврстог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0E18D6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E94D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1.5.1.5.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дезинфекционих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баријера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5F32C63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939F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1.5.1.6.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пречишћавање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8FA9AC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B752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1.5.1.7.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биогаса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геотермалне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дистрибутивну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D5FF60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0D24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1.5.1.8.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унутрашње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паркинг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C8AEF6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DB37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1.5.1.9.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пресвлачење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6D08" w:rsidRPr="00E66834" w14:paraId="6101395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E9F4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1.5.2.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механизација</w:t>
            </w:r>
            <w:proofErr w:type="spellEnd"/>
          </w:p>
        </w:tc>
      </w:tr>
      <w:tr w:rsidR="00A26D08" w:rsidRPr="00E66834" w14:paraId="06B7C6A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2851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Oбогаћени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кавези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алтернативно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држање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кокошака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5A9A62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DAB1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сакупљање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означавање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2C3291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8690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пражњење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сепаратори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њак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специјализоване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97C07E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BF32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стајњака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A3BD9B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899A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801D1C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B00F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храњење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напајање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млинови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блендери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мешаоне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дозатори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концентровану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екстрактори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дозатори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кабасту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појилице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66B582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8F63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1.5.2.7.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простирке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F04B07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2A44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DF382E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20D4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1.5.2.9.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безбедно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уклањање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угинулих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побољшање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биосигурносних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DECBC7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0CCC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1.5.2.10.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хемијски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биолошки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третман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отпадом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CF459A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6263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1.5.2.11.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спречавање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загађења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ваздуха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CD71F5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F4CE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1.5.2.12.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биогаса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геотермалне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дистрибутивну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E7561C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99D5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1.5.2.13.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превенцију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болест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BE9B8D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3F27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1.5.2.14.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противпожарну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инкубаторе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„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вештачку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квочку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живинарнике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алармни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94D67C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4E26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1.5.2.15.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8D21B0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3DEA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1.5.2.16.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лиценциране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пресвлачење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7CCAF63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33A9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1.5.2.17. </w:t>
            </w:r>
            <w:r w:rsidRPr="00E668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IT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хардвер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6D08" w:rsidRPr="00E66834" w14:paraId="1304DA5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55E0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1.6. СЕКТОР ГРОЖЂА</w:t>
            </w:r>
          </w:p>
        </w:tc>
      </w:tr>
      <w:tr w:rsidR="00A26D08" w:rsidRPr="00E66834" w14:paraId="665150D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8B3A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1.6.1.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Изградња</w:t>
            </w:r>
            <w:proofErr w:type="spellEnd"/>
          </w:p>
        </w:tc>
      </w:tr>
      <w:tr w:rsidR="00A26D08" w:rsidRPr="00E66834" w14:paraId="50FCDE3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7C21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1.6.1.1.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покривених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стаклом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расадничарска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резница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калемљење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изданака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калемарница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тратификала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грејним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стакленика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пластеника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расадничарску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хладњача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контролисаном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климатизације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ивпожарни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резервоари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хидрантска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енергетски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7E2576A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5CE3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1.6.1.2.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8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ULO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хладњаче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смештај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хлађење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винског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бербе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0549D1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536C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1.6.1.3.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микро-резервоаре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водозахвата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дземне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црпљење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површинске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језера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акумулација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12AD04C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C030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1.6.1.4.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211CBF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FD7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1.6.1.5.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6F4E33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BC29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1.6.1.6.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биогаса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геотермалне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дистрибутивну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187B61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E607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1.6.1.7.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унутрашње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паркинг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039FAD0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213D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1.6.1.8.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капацитета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радник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пресвлачење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репроматеријал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6D08" w:rsidRPr="00E66834" w14:paraId="6326A9A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E509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1.6.2.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механизација</w:t>
            </w:r>
            <w:proofErr w:type="spellEnd"/>
          </w:p>
        </w:tc>
      </w:tr>
      <w:tr w:rsidR="00A26D08" w:rsidRPr="00E66834" w14:paraId="7FE3B17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6CAE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1.6.2.1.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посебних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микроклим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атских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климатизацију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противпожарну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алармни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грејања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класификацију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5549B7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C64D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1.6.2.2.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фитосанитарних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расадничарску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0819D5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DE40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1.6.2.3.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пратећим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капацитета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канцеларије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боравак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пресвлачење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A26D08" w:rsidRPr="00E66834" w14:paraId="68AFC03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CC57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1.6.2.4.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наводњавање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црева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распршиваче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капаљке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филтрирање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фертиригацију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водорастворивим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ђубривима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слична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6DB47B8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EE0D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1.6.2.5.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паковање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164A00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4120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1.6.2.6.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противградну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EB6364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C5F0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1.6.2.7.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ограђивање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1628B6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D3E7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1.6.2.8.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топлотне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коришћење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соларне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биомасе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биогаса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геотермалне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обновљивих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дистрибутивну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C69040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A303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1.6.2.9.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резидбу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тарупирање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бербу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обављање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агротехничких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ампелотехничких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13E5097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D3E8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1.6.2.10.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мрежанике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заштићенe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просторe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винове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умножавање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биљног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третман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врућом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</w:t>
            </w: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расадничарску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7908870" w14:textId="77777777" w:rsidR="00E66834" w:rsidRDefault="00E66834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A962E3" w14:textId="23C8C093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ЛИСТА ПРИХВАТЉИВИХ ТРОШКОВА ЗА СВЕ СЕКТОРЕ У ОКВИРУ МЕРЕ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4"/>
        <w:gridCol w:w="4242"/>
        <w:gridCol w:w="2286"/>
      </w:tblGrid>
      <w:tr w:rsidR="00A26D08" w:rsidRPr="00E66834" w14:paraId="16E93D4D" w14:textId="77777777">
        <w:trPr>
          <w:trHeight w:val="45"/>
          <w:tblCellSpacing w:w="0" w:type="auto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388F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ПОЉОПРИВРЕДНА МЕХАНИЗАЦИЈА И ОПРЕМА ЗА СВЕ СЕКТОРЕ</w:t>
            </w:r>
          </w:p>
        </w:tc>
      </w:tr>
      <w:tr w:rsidR="00A26D08" w:rsidRPr="00E66834" w14:paraId="3EF31DA4" w14:textId="77777777">
        <w:trPr>
          <w:trHeight w:val="45"/>
          <w:tblCellSpacing w:w="0" w:type="auto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16BD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10.1.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Пољопривредна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механизација</w:t>
            </w:r>
            <w:proofErr w:type="spellEnd"/>
          </w:p>
        </w:tc>
      </w:tr>
      <w:tr w:rsidR="00A26D08" w:rsidRPr="00E66834" w14:paraId="101620B4" w14:textId="77777777">
        <w:trPr>
          <w:trHeight w:val="45"/>
          <w:tblCellSpacing w:w="0" w:type="auto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4E87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kW;</w:t>
            </w:r>
          </w:p>
        </w:tc>
      </w:tr>
      <w:tr w:rsidR="00A26D08" w:rsidRPr="00E66834" w14:paraId="33C56AD2" w14:textId="77777777">
        <w:trPr>
          <w:trHeight w:val="45"/>
          <w:tblCellSpacing w:w="0" w:type="auto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1513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изузев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комбајна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6D08" w:rsidRPr="00E66834" w14:paraId="083557B3" w14:textId="77777777">
        <w:trPr>
          <w:trHeight w:val="45"/>
          <w:tblCellSpacing w:w="0" w:type="auto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FCAD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10.2.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Прикључне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</w:tr>
      <w:tr w:rsidR="00A26D08" w:rsidRPr="00E66834" w14:paraId="14424F1B" w14:textId="77777777">
        <w:trPr>
          <w:trHeight w:val="45"/>
          <w:tblCellSpacing w:w="0" w:type="auto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22D5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10.2.1.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A0136A9" w14:textId="77777777">
        <w:trPr>
          <w:trHeight w:val="45"/>
          <w:tblCellSpacing w:w="0" w:type="auto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172E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10.2.2.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допунску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59A20EEE" w14:textId="77777777">
        <w:trPr>
          <w:trHeight w:val="45"/>
          <w:tblCellSpacing w:w="0" w:type="auto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AB86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10.2.3.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ђубрење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земљишта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59B70E1" w14:textId="77777777">
        <w:trPr>
          <w:trHeight w:val="45"/>
          <w:tblCellSpacing w:w="0" w:type="auto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3986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10.2.4.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B6E9209" w14:textId="77777777">
        <w:trPr>
          <w:trHeight w:val="45"/>
          <w:tblCellSpacing w:w="0" w:type="auto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6351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10.2.5.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садњу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43FBD1A1" w14:textId="77777777">
        <w:trPr>
          <w:trHeight w:val="45"/>
          <w:tblCellSpacing w:w="0" w:type="auto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53A5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10.2.6.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заштиту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2D71B5A5" w14:textId="77777777">
        <w:trPr>
          <w:trHeight w:val="45"/>
          <w:tblCellSpacing w:w="0" w:type="auto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5E5E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10.2.7.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жетву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убирање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26D08" w:rsidRPr="00E66834" w14:paraId="37B66C64" w14:textId="77777777">
        <w:trPr>
          <w:trHeight w:val="45"/>
          <w:tblCellSpacing w:w="0" w:type="auto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255E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10.2.8.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манипулацију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6D08" w:rsidRPr="00E66834" w14:paraId="1258B66C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8FA5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МАКСИМАЛНА СНАГА ТРАКТОРА ПО СЕКТОРИМА</w:t>
            </w:r>
            <w:r w:rsidRPr="00E668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ВЕЛИЧИНИ/КАПАЦИТЕТУ</w:t>
            </w:r>
          </w:p>
        </w:tc>
      </w:tr>
      <w:tr w:rsidR="00A26D08" w:rsidRPr="00E66834" w14:paraId="3931FE62" w14:textId="77777777">
        <w:trPr>
          <w:trHeight w:val="45"/>
          <w:tblCellSpacing w:w="0" w:type="auto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B066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Врста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18DF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Површина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(у ha)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FE99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Максимална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снага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(kW)</w:t>
            </w:r>
          </w:p>
        </w:tc>
      </w:tr>
      <w:tr w:rsidR="00A26D08" w:rsidRPr="00E66834" w14:paraId="07B419AD" w14:textId="77777777">
        <w:trPr>
          <w:trHeight w:val="45"/>
          <w:tblCellSpacing w:w="0" w:type="auto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8C0F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02CA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F04B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26D08" w:rsidRPr="00E66834" w14:paraId="420BB28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C2BD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08BA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10–50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B3C7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26D08" w:rsidRPr="00E66834" w14:paraId="71B2E3A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C5395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F6EF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50–100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0F2E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6D08" w:rsidRPr="00E66834" w14:paraId="443D93D3" w14:textId="77777777">
        <w:trPr>
          <w:trHeight w:val="45"/>
          <w:tblCellSpacing w:w="0" w:type="auto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45AC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C624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0,5–10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34F1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26D08" w:rsidRPr="00E66834" w14:paraId="5D8934B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CC2A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117D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10–50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B550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26D08" w:rsidRPr="00E66834" w14:paraId="0EBA1E96" w14:textId="77777777">
        <w:trPr>
          <w:trHeight w:val="45"/>
          <w:tblCellSpacing w:w="0" w:type="auto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9695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BF6C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793B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26D08" w:rsidRPr="00E66834" w14:paraId="72D526B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40AD4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0328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10–50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FDBE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26D08" w:rsidRPr="00E66834" w14:paraId="063039E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AC125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0AF1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50–100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9C89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6D08" w:rsidRPr="00E66834" w14:paraId="6091778D" w14:textId="77777777">
        <w:trPr>
          <w:trHeight w:val="45"/>
          <w:tblCellSpacing w:w="0" w:type="auto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9CA2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грожђа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D0A5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0,5–10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2931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26D08" w:rsidRPr="00E66834" w14:paraId="29830EC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43DC7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2E82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10–50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16A2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26D08" w:rsidRPr="00E66834" w14:paraId="26EA4E0D" w14:textId="77777777">
        <w:trPr>
          <w:trHeight w:val="45"/>
          <w:tblCellSpacing w:w="0" w:type="auto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B9FC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257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0,5–2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39C2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26D08" w:rsidRPr="00E66834" w14:paraId="1EEAAAB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0FFF3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7BBB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9E67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26D08" w:rsidRPr="00E66834" w14:paraId="4E2860D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C9C9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DF58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10–30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1A0F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26D08" w:rsidRPr="00E66834" w14:paraId="6EB3F8D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2A42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D1B3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30–100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AD75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6D08" w:rsidRPr="00E66834" w14:paraId="210E38FD" w14:textId="77777777">
        <w:trPr>
          <w:trHeight w:val="45"/>
          <w:tblCellSpacing w:w="0" w:type="auto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D96C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усеви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E78A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2–20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7A47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26D08" w:rsidRPr="00E66834" w14:paraId="076D677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F2C4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A0D2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20–50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7D46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6D08" w:rsidRPr="00E66834" w14:paraId="3E353738" w14:textId="77777777">
        <w:trPr>
          <w:trHeight w:val="45"/>
          <w:tblCellSpacing w:w="0" w:type="auto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6079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EAFE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Обим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капацитет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грла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0298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Максимална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снага</w:t>
            </w:r>
            <w:proofErr w:type="spellEnd"/>
            <w:r w:rsidRPr="00E66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(kW)</w:t>
            </w:r>
          </w:p>
        </w:tc>
      </w:tr>
      <w:tr w:rsidR="00A26D08" w:rsidRPr="00E66834" w14:paraId="3AE5958E" w14:textId="77777777">
        <w:trPr>
          <w:trHeight w:val="45"/>
          <w:tblCellSpacing w:w="0" w:type="auto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434C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музне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8F96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20–50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3BE3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26D08" w:rsidRPr="00E66834" w14:paraId="17A184F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444D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3FE0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50–300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584B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6D08" w:rsidRPr="00E66834" w14:paraId="39BE255E" w14:textId="77777777">
        <w:trPr>
          <w:trHeight w:val="45"/>
          <w:tblCellSpacing w:w="0" w:type="auto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62CB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Говедарство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EBC3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20–40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7E30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26D08" w:rsidRPr="00E66834" w14:paraId="1CA55D8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511A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0370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40–1.000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ACBB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6D08" w:rsidRPr="00E66834" w14:paraId="5A870189" w14:textId="77777777">
        <w:trPr>
          <w:trHeight w:val="45"/>
          <w:tblCellSpacing w:w="0" w:type="auto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2EE0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Свињарство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2230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100–1.000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7F03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26D08" w:rsidRPr="00E66834" w14:paraId="43E29F4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CE59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2DD2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1.000–10.000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C3E6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6D08" w:rsidRPr="00E66834" w14:paraId="7508A56C" w14:textId="77777777">
        <w:trPr>
          <w:trHeight w:val="45"/>
          <w:tblCellSpacing w:w="0" w:type="auto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63B6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Овчарство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козарство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247A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150–400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4561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26D08" w:rsidRPr="00E66834" w14:paraId="7ECF221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F08FB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882F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400–1.000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FCC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6D08" w:rsidRPr="00E66834" w14:paraId="213513F0" w14:textId="77777777">
        <w:trPr>
          <w:trHeight w:val="45"/>
          <w:tblCellSpacing w:w="0" w:type="auto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C281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Живинарство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BFDA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4.000–20.000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F127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26D08" w:rsidRPr="00E66834" w14:paraId="3B66893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9F74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3E0A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20.000–40.000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893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26D08" w:rsidRPr="00E66834" w14:paraId="6145E03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6C61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9BE2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40.000–50.000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17E4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6D08" w:rsidRPr="00E66834" w14:paraId="696B514C" w14:textId="77777777">
        <w:trPr>
          <w:trHeight w:val="45"/>
          <w:tblCellSpacing w:w="0" w:type="auto"/>
        </w:trPr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6FB2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јаја</w:t>
            </w:r>
            <w:proofErr w:type="spellEnd"/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D5C2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5.000–50.000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560B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26D08" w:rsidRPr="00E66834" w14:paraId="3C12CFA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B922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D361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50.000–100.000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15AB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26D08" w:rsidRPr="00E66834" w14:paraId="32DAE22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57FC7" w14:textId="77777777" w:rsidR="00A26D08" w:rsidRPr="00E66834" w:rsidRDefault="00A2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3D90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100.000–200.000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98BF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2223208" w14:textId="77777777" w:rsidR="00A26D08" w:rsidRPr="00E66834" w:rsidRDefault="004F50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14:paraId="44E6242A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ЛИСТА ПРИХВАТЉИВИХ ЗЕМАЉА</w:t>
      </w:r>
    </w:p>
    <w:p w14:paraId="4C062F2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ДРЖАВЕ: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Аустрија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Белгија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Бугарска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Чешка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Хрватска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Кипар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Естонија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Француска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Немачка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Мађарска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Италија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Летонија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Литванија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Луксембург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Малта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Холандија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Португалија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Румунија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Словачка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Словенија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Шпанија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Шведска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Британија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Албанија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Босна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Херцеговина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Турска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Северна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Македонија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Исланд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Лихтенштајн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Норвешка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Алжир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Јерменија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Азербејџан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Белорусија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Египат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Грузија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Израел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Јордан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Либан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Либија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Молдавија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Мароко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Сирија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Тунис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Украјина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Палестина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4AF6F5" w14:textId="77777777" w:rsidR="00A26D08" w:rsidRPr="00E66834" w:rsidRDefault="004F50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 7</w:t>
      </w:r>
    </w:p>
    <w:p w14:paraId="6AF0D30B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ОБЕЛЕЖАВАЊЕ ПРЕДМЕТА ИНВЕСТИЦИЈЕ</w:t>
      </w:r>
    </w:p>
    <w:p w14:paraId="33DD361F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информисању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улози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II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позитивној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промоцији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доприноса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националних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фондова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Свe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суфинансиране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II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информацију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улози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ИПАРД II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суфинансирању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72171B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обележавања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дефи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нисан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Секторским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механизмима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инструмента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претприступну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(ИПАРД)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(ЕУ) 821/2014.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везана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суфинансираних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II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заснована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приручнику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питању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спољним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активностима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(ЕУ)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236/2014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парламента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2014.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утврђивању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заједничких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спољних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Смерницама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комиси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тичу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ED4A76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Добијањем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прихвата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носиоцу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називу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4E8109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Обавезe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корисника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информисању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јавности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подршци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ЕК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ИПАРД II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</w:p>
    <w:p w14:paraId="13B90CE4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захтеваној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добијеној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подршци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II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303968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комуник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укључивати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основне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елементе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видљивости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17158E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ЕУ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II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: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6A2F36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државно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618CC4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напомену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реализован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стално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oбележавање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oбележавање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6211D1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527E3A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Обавезe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информисању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подршци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II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дефинисане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C1684A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сваку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инфраструктуру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прелази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100.000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почетку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извођења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грађевинских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обележавања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гради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лишта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билбордом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поставити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привремени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минималне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А3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формата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улаз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прилазни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CAA3F7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Привр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емени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заузимају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25%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преостали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билборда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(75%)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намењен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опису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минимално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0126B3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B36976B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85B970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суфинансирања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изражен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динарима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наведен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Решењу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суфинансирања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допуни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информацијом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доприносу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самог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BE8386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спро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3C86F3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Привремени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остаје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добијања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5E7787" w14:textId="77777777" w:rsidR="00A26D08" w:rsidRPr="00E66834" w:rsidRDefault="004F5081" w:rsidP="00E668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idContainer054"/>
      <w:r w:rsidRPr="00E6683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3F387F" wp14:editId="26673389">
            <wp:extent cx="3237255" cy="2048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204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321C4FE2" w14:textId="77777777" w:rsidR="00A26D08" w:rsidRPr="00E66834" w:rsidRDefault="004F5081" w:rsidP="00E6683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–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Привремени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билборд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табла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постер</w:t>
      </w:r>
      <w:proofErr w:type="spellEnd"/>
    </w:p>
    <w:p w14:paraId="033162C7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1а)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добијања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стални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минималне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А3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формата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израђен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трајног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улаз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прилазни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A71F5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Стални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заузимају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25%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илборда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напомену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истиче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добијене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II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реализован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___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E695B04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Преостали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сталног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билборда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(75%)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намењен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опису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информацију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доприносу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самог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сличне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D58B36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суфинансирано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неколико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стални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4A5987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Стални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наредних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(5)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5971BF" w14:textId="77777777" w:rsidR="00A26D08" w:rsidRPr="00E66834" w:rsidRDefault="004F5081" w:rsidP="00E668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idContainer055"/>
      <w:r w:rsidRPr="00E66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30C89D" wp14:editId="4A8D1191">
            <wp:extent cx="3237255" cy="18838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88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4A6DA732" w14:textId="77777777" w:rsidR="00A26D08" w:rsidRPr="00E66834" w:rsidRDefault="004F5081" w:rsidP="00E6683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–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Стални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билборд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табла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постер</w:t>
      </w:r>
      <w:proofErr w:type="spellEnd"/>
    </w:p>
    <w:p w14:paraId="6BB3F7D6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сваку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инфраструктуру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прелази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20.000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тренутка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започињања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извођења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физичких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привремену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таблу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минималне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А3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формата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улаз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37C24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Привремена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табла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направљена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трајног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пластика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метал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израђена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260406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Привремена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табла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75445B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2 а)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сталну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таблу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минималне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А3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формата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израђену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1а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трајног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пластика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метал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улаз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CC194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Стална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табла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наредних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(5)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F341F6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сваку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инфраструктуру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прелази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20.000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трену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започињања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извођења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физичких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постер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минималне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А3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формата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улаз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3673E7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Постер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заузимају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25%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преостали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постера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(75%)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намењен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опису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минимално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09303A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8BC33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8CDCE68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суфинансирања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изражен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динарима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наведен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Решењу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суфинансирања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допуни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информацијом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доприносу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самог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A743E0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87D637F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Постер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5ED2D5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3а)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сталну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таблу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минималне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А3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формата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израђену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1а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трајног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пластика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метал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улаз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CB0B19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Стална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табла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наредних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(5)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75902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сваку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лази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100.000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сталну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таблу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израђену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1а)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трајног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пластика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метал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улазу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прилазном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путу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22717DB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Стална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табла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наредних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(5)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CB0C8A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машине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механизацију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суфинансира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II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испоруци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налепницама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довољне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препоручена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8x15 cm),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израђеним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ПВЦ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УВ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сјаја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Налепница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вљена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предњој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бочној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страни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механизације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ACFE1F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Налепница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заузимају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25%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налепнице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напомену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истиче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добијене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II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реализован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___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F9DCBFE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Преостали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налепнице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(75%)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намењен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опису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информацију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доприно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самог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сличне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A7BC38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Опрему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машине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механизацију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обележити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налепницом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наредних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(5)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EC8E3B" w14:textId="77777777" w:rsidR="00A26D08" w:rsidRPr="00E66834" w:rsidRDefault="004F5081" w:rsidP="00E668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idContainer056"/>
      <w:r w:rsidRPr="00E66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E7BC0C" wp14:editId="7525E010">
            <wp:extent cx="3237255" cy="18655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86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521937C3" w14:textId="77777777" w:rsidR="00A26D08" w:rsidRPr="00E66834" w:rsidRDefault="004F5081" w:rsidP="00E6683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–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Налепница</w:t>
      </w:r>
      <w:proofErr w:type="spellEnd"/>
    </w:p>
    <w:p w14:paraId="2C7D14E0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Билборди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табле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постери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налепнице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смеју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оштећени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дође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оштећења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замењени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969177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придржава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обележавања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Испуњавање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проверава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УАП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контролама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контролама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исплат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577600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обавештавања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наведен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тачкама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подршци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добијеној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начине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568378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сајт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почетној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сајта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површини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25%,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кратак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елементима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овога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преостали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почетне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странице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сајта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информаци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сличне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од-до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особе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везе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релевантним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страницама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FE3F2E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позиционирани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дигиталног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уређаја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померања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прозора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CA7E1D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сваку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глављу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54CD1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публикација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летке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брошуре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новинске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чланке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4BD74B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Промотивни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(USB, CD,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оловка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мајица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8F5B72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публикација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аудио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промотивни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сајт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повезан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одрицању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реализован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одговоран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изражава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ставове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30B4005A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намењен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информисању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комуникацији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пројектом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српском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језику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жељи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поједини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креирани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српском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енглеском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језику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7E51AB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ИПАРД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логотип</w:t>
      </w:r>
      <w:proofErr w:type="spellEnd"/>
    </w:p>
    <w:p w14:paraId="7D0FBFD8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употребљава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техничким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карактеристикама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наведеним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релевантном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увек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јасно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видљив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истакнутом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3FC08C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примерени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предметног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сваком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–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1cm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висине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приказани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барем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једнаке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висине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ширине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највећи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обележј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CA971A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увек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десне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државно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поставља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леве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13648F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приказује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обележавању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медијима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страницама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приказује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црно-бела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верзија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употребити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оправданим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целокупни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црно-белој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верзији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употребљава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црно-бели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приказује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црној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белим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звездама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05B0EC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приказује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увек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белој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подлози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приказује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подлози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оивичен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белим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оквиром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чија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ширина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једнака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1/25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висине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610196" w14:textId="77777777" w:rsidR="00A26D08" w:rsidRPr="00E66834" w:rsidRDefault="004F5081" w:rsidP="00E668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idContainer057"/>
      <w:r w:rsidRPr="00E66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1BF7F" wp14:editId="48EC4460">
            <wp:extent cx="3237255" cy="14997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49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5B86A5A4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боје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8D6FB9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Pantone: PANTONE REFLEX BLUE и PANTONE YELLOW,</w:t>
      </w:r>
    </w:p>
    <w:p w14:paraId="680402AB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CMYK: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C100-M80-Y0-K0/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жута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C0-M0-Y100-K0,</w:t>
      </w:r>
    </w:p>
    <w:p w14:paraId="7CE73AA0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RGB: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R0-G51-B153/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жута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R255-G204-B0.</w:t>
      </w:r>
    </w:p>
    <w:p w14:paraId="4DC10A87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Фонтови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употребити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есу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>Arial, Calibri, Garamond, Trebuchet, Tahoma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>и Verdana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Курзив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подвучени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ефекти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употребљавају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Положај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сме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ометати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фонта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сразмерна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величини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отипа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фонта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>(Reflex blue)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бела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зависности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боје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позадине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BDC75F" w14:textId="48A1CB98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ИПАРД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логотип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преузети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следећег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линка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E66834" w:rsidRPr="00BC1449">
          <w:rPr>
            <w:rStyle w:val="Hyperlink"/>
            <w:rFonts w:ascii="Times New Roman" w:hAnsi="Times New Roman" w:cs="Times New Roman"/>
            <w:sz w:val="24"/>
            <w:szCs w:val="24"/>
          </w:rPr>
          <w:t>http://uap.gov.rs/wp-content/uploads/2019/11/logo-ipard-vector-final.pdf</w:t>
        </w:r>
      </w:hyperlink>
      <w:r w:rsid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963152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Државна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обележја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Републике</w:t>
      </w:r>
      <w:proofErr w:type="spellEnd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Србије</w:t>
      </w:r>
      <w:proofErr w:type="spellEnd"/>
    </w:p>
    <w:p w14:paraId="64EEFE44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Државна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лежја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обележавање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Државна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Грб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употребљавају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изглед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употреба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грба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заставе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химне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9D61A0" w14:textId="77777777" w:rsidR="00A26D08" w:rsidRPr="00E66834" w:rsidRDefault="004F5081" w:rsidP="00E668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idContainer058"/>
      <w:r w:rsidRPr="00E66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07FD87" wp14:editId="6C95F809">
            <wp:extent cx="3237255" cy="7011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70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13B718AF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боје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обележја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3AB814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834">
        <w:rPr>
          <w:rFonts w:ascii="Times New Roman" w:hAnsi="Times New Roman" w:cs="Times New Roman"/>
          <w:i/>
          <w:color w:val="000000"/>
          <w:sz w:val="24"/>
          <w:szCs w:val="24"/>
        </w:rPr>
        <w:t>Pantone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црвена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192C/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280C/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жута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123C,</w:t>
      </w:r>
    </w:p>
    <w:p w14:paraId="51B4D48C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CMYK: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црвена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C0-M90-Y70-K10/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C100-M72-Y0-K19/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жута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C4-M24-Y95-K0/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K100,</w:t>
      </w:r>
    </w:p>
    <w:p w14:paraId="214ACD50" w14:textId="77777777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– у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RGB: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црвена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R198-G54-B60/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плава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R12-G64-B118/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жута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R237-G185-B46/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црна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R3</w:t>
      </w:r>
      <w:r w:rsidRPr="00E66834">
        <w:rPr>
          <w:rFonts w:ascii="Times New Roman" w:hAnsi="Times New Roman" w:cs="Times New Roman"/>
          <w:color w:val="000000"/>
          <w:sz w:val="24"/>
          <w:szCs w:val="24"/>
        </w:rPr>
        <w:t>3-G35-B30.</w:t>
      </w:r>
    </w:p>
    <w:p w14:paraId="4DB3305B" w14:textId="0B752C2D" w:rsidR="00A26D08" w:rsidRPr="00E66834" w:rsidRDefault="004F5081" w:rsidP="00E6683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Државна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застава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грб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преузети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следећег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линка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E66834" w:rsidRPr="00BC1449">
          <w:rPr>
            <w:rStyle w:val="Hyperlink"/>
            <w:rFonts w:ascii="Times New Roman" w:hAnsi="Times New Roman" w:cs="Times New Roman"/>
            <w:sz w:val="24"/>
            <w:szCs w:val="24"/>
          </w:rPr>
          <w:t>http://www.media.srbija.gov.rs/medsrp/slike/grbovi_zastave_standarte_srbije.zip</w:t>
        </w:r>
      </w:hyperlink>
      <w:r w:rsidR="00E6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A030C1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4BF3F" w14:textId="77777777" w:rsidR="00E66834" w:rsidRDefault="00E6683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2F909" w14:textId="5E7B25C4" w:rsidR="00A26D08" w:rsidRPr="00E66834" w:rsidRDefault="004F50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6834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E66834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</w:p>
    <w:p w14:paraId="0028B048" w14:textId="77777777" w:rsidR="00A26D08" w:rsidRPr="00E66834" w:rsidRDefault="004F50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66834">
        <w:rPr>
          <w:rFonts w:ascii="Times New Roman" w:hAnsi="Times New Roman" w:cs="Times New Roman"/>
          <w:b/>
          <w:color w:val="000000"/>
          <w:sz w:val="24"/>
          <w:szCs w:val="24"/>
        </w:rPr>
        <w:t>ГУСТИНА САДЊЕ ПРОИЗВОДНОГ ЗАСАДА ВОЋА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29"/>
        <w:gridCol w:w="2286"/>
        <w:gridCol w:w="2531"/>
        <w:gridCol w:w="2846"/>
      </w:tblGrid>
      <w:tr w:rsidR="00A26D08" w:rsidRPr="00E66834" w14:paraId="40002ABF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F5DC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BC4CF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098A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воћака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C6BF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Минималан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посађених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садница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хектару</w:t>
            </w:r>
            <w:proofErr w:type="spellEnd"/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60EB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Максималан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посађених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садница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хектару</w:t>
            </w:r>
            <w:proofErr w:type="spellEnd"/>
          </w:p>
        </w:tc>
      </w:tr>
      <w:tr w:rsidR="00A26D08" w:rsidRPr="00E66834" w14:paraId="5ACEAC29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4C32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0240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јабука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337D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1693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4.500</w:t>
            </w:r>
          </w:p>
        </w:tc>
      </w:tr>
      <w:tr w:rsidR="00A26D08" w:rsidRPr="00E66834" w14:paraId="4D4E9A21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F95C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2014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јабука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8090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E9A9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A26D08" w:rsidRPr="00E66834" w14:paraId="1BDDBA68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BD20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65CC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посредника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1CAC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E277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4.500</w:t>
            </w:r>
          </w:p>
        </w:tc>
      </w:tr>
      <w:tr w:rsidR="00A26D08" w:rsidRPr="00E66834" w14:paraId="5F2D8D8D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4F30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B7BA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посредником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38D0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6642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4.500</w:t>
            </w:r>
          </w:p>
        </w:tc>
      </w:tr>
      <w:tr w:rsidR="00A26D08" w:rsidRPr="00E66834" w14:paraId="18FB9A64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C427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E02A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8A89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8A69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</w:t>
            </w:r>
          </w:p>
        </w:tc>
      </w:tr>
      <w:tr w:rsidR="00A26D08" w:rsidRPr="00E66834" w14:paraId="39F5F59D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EB64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2EA3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F99C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ADBF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1.200</w:t>
            </w:r>
          </w:p>
        </w:tc>
      </w:tr>
      <w:tr w:rsidR="00A26D08" w:rsidRPr="00E66834" w14:paraId="6124B40C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C622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F1F8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мушмула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96D5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365C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1.200</w:t>
            </w:r>
          </w:p>
        </w:tc>
      </w:tr>
      <w:tr w:rsidR="00A26D08" w:rsidRPr="00E66834" w14:paraId="7EE65106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C1D0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197B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шљива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7087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CE97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</w:t>
            </w:r>
          </w:p>
        </w:tc>
      </w:tr>
      <w:tr w:rsidR="00A26D08" w:rsidRPr="00E66834" w14:paraId="46237D62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F53A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A27D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шљива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6E64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C173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</w:tr>
      <w:tr w:rsidR="00A26D08" w:rsidRPr="00E66834" w14:paraId="118E533B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E01B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5105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бресква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0B64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E292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</w:t>
            </w:r>
          </w:p>
        </w:tc>
      </w:tr>
      <w:tr w:rsidR="00A26D08" w:rsidRPr="00E66834" w14:paraId="2922BED6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BB48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9A4C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нектарина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3BBF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FB44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</w:t>
            </w:r>
          </w:p>
        </w:tc>
      </w:tr>
      <w:tr w:rsidR="00A26D08" w:rsidRPr="00E66834" w14:paraId="35168016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FEB7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7FD6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кајсија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посредника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150D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6AAE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1.250</w:t>
            </w:r>
          </w:p>
        </w:tc>
      </w:tr>
      <w:tr w:rsidR="00A26D08" w:rsidRPr="00E66834" w14:paraId="48474372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C999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E232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кајсија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посредником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695E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2CFB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1.250</w:t>
            </w:r>
          </w:p>
        </w:tc>
      </w:tr>
      <w:tr w:rsidR="00A26D08" w:rsidRPr="00E66834" w14:paraId="11B267F9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34D7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EF0D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трешња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B689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7361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</w:t>
            </w:r>
          </w:p>
        </w:tc>
      </w:tr>
      <w:tr w:rsidR="00A26D08" w:rsidRPr="00E66834" w14:paraId="7DB541F9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B729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8722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трешња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05E2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9783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A26D08" w:rsidRPr="00E66834" w14:paraId="64D48D51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0DA8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D3F0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8717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5045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</w:t>
            </w:r>
          </w:p>
        </w:tc>
      </w:tr>
      <w:tr w:rsidR="00A26D08" w:rsidRPr="00E66834" w14:paraId="6C1F19E2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E454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3868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облачинска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вишња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166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4138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</w:t>
            </w:r>
          </w:p>
        </w:tc>
      </w:tr>
      <w:tr w:rsidR="00A26D08" w:rsidRPr="00E66834" w14:paraId="11E3EA7E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0D12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4040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вишња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C6CD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887F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1.800</w:t>
            </w:r>
          </w:p>
        </w:tc>
      </w:tr>
      <w:tr w:rsidR="00A26D08" w:rsidRPr="00E66834" w14:paraId="084B1037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7914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C4E4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орах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3770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9DF6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A26D08" w:rsidRPr="00E66834" w14:paraId="45F0A2BD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9B32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A6FE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2D19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0942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1.250</w:t>
            </w:r>
          </w:p>
        </w:tc>
      </w:tr>
      <w:tr w:rsidR="00A26D08" w:rsidRPr="00E66834" w14:paraId="4178B400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00F3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39F2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изданачка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лескана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сопственој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E22B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5B39F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1.250</w:t>
            </w:r>
          </w:p>
        </w:tc>
      </w:tr>
      <w:tr w:rsidR="00A26D08" w:rsidRPr="00E66834" w14:paraId="36362853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E4AA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2BCA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бадем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C90F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2FB7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26D08" w:rsidRPr="00E66834" w14:paraId="6268C3F3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5CA0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51CA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дрвенасте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воћака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91AE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9901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4.500</w:t>
            </w:r>
          </w:p>
        </w:tc>
      </w:tr>
      <w:tr w:rsidR="00A26D08" w:rsidRPr="00E66834" w14:paraId="32FC034F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2311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159A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јагоде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A2F6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8FE9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65.000</w:t>
            </w:r>
          </w:p>
        </w:tc>
      </w:tr>
      <w:tr w:rsidR="00A26D08" w:rsidRPr="00E66834" w14:paraId="080D497E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7AB5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5FB6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двородним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сортама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B9357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0252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25.000</w:t>
            </w:r>
          </w:p>
        </w:tc>
      </w:tr>
      <w:tr w:rsidR="00A26D08" w:rsidRPr="00E66834" w14:paraId="039AECAD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92CD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9BAD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једнородним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сортама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1FE0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A7C9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25.000</w:t>
            </w:r>
          </w:p>
        </w:tc>
      </w:tr>
      <w:tr w:rsidR="00A26D08" w:rsidRPr="00E66834" w14:paraId="54FDF354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65C5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0ADD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9510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6E14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</w:t>
            </w:r>
          </w:p>
        </w:tc>
      </w:tr>
      <w:tr w:rsidR="00A26D08" w:rsidRPr="00E66834" w14:paraId="1FA0715D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CCBB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0CC8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рибизла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4349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21F8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</w:t>
            </w:r>
          </w:p>
        </w:tc>
      </w:tr>
      <w:tr w:rsidR="00A26D08" w:rsidRPr="00E66834" w14:paraId="1DA67A17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9B5C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08272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огрозд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9046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A33E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3.500</w:t>
            </w:r>
          </w:p>
        </w:tc>
      </w:tr>
      <w:tr w:rsidR="00A26D08" w:rsidRPr="00E66834" w14:paraId="227D769C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6954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9A53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боровница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класичан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узгој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4732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21A73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4.500</w:t>
            </w:r>
          </w:p>
        </w:tc>
      </w:tr>
      <w:tr w:rsidR="00A26D08" w:rsidRPr="00E66834" w14:paraId="13E13685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C076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5C8C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брусница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333A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19FE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110.000</w:t>
            </w:r>
          </w:p>
        </w:tc>
      </w:tr>
      <w:tr w:rsidR="00A26D08" w:rsidRPr="00E66834" w14:paraId="65C6AF7C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543B0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299B1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аронија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F049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F5D2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4.200</w:t>
            </w:r>
          </w:p>
        </w:tc>
      </w:tr>
      <w:tr w:rsidR="00A26D08" w:rsidRPr="00E66834" w14:paraId="0D724BAD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718F8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58B4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јагодасте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воћака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E056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31B7C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18.000</w:t>
            </w:r>
          </w:p>
        </w:tc>
      </w:tr>
      <w:tr w:rsidR="00A26D08" w:rsidRPr="00E66834" w14:paraId="60A274D5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DE75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0D6F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генеративној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подлози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46E6B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CD5CA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A26D08" w:rsidRPr="00E66834" w14:paraId="4CFCCBFF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8F00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D6F3E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јагода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1A5E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60C25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</w:t>
            </w:r>
          </w:p>
        </w:tc>
      </w:tr>
      <w:tr w:rsidR="00A26D08" w:rsidRPr="00E66834" w14:paraId="669CD305" w14:textId="77777777">
        <w:trPr>
          <w:trHeight w:val="45"/>
          <w:tblCellSpacing w:w="0" w:type="auto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AC67D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D5C84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садница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боровнице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саксијама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врећама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супстратом</w:t>
            </w:r>
            <w:proofErr w:type="spellEnd"/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2E2C9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4.100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300A6" w14:textId="77777777" w:rsidR="00A26D08" w:rsidRPr="00E66834" w:rsidRDefault="004F508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5.600</w:t>
            </w:r>
          </w:p>
        </w:tc>
      </w:tr>
    </w:tbl>
    <w:p w14:paraId="29584441" w14:textId="77777777" w:rsidR="004F5081" w:rsidRPr="00E66834" w:rsidRDefault="004F5081">
      <w:pPr>
        <w:rPr>
          <w:rFonts w:ascii="Times New Roman" w:hAnsi="Times New Roman" w:cs="Times New Roman"/>
          <w:sz w:val="24"/>
          <w:szCs w:val="24"/>
        </w:rPr>
      </w:pPr>
    </w:p>
    <w:sectPr w:rsidR="004F5081" w:rsidRPr="00E668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08"/>
    <w:rsid w:val="00051E49"/>
    <w:rsid w:val="004F5081"/>
    <w:rsid w:val="007F5357"/>
    <w:rsid w:val="00A26D08"/>
    <w:rsid w:val="00E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79DA"/>
  <w15:docId w15:val="{AFF93C91-FB73-4062-92C8-3A9308A2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character" w:styleId="UnresolvedMention">
    <w:name w:val="Unresolved Mention"/>
    <w:basedOn w:val="DefaultParagraphFont"/>
    <w:uiPriority w:val="99"/>
    <w:semiHidden/>
    <w:unhideWhenUsed/>
    <w:rsid w:val="00E6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p.gov.rs/wp-content/uploads/2019/11/logo-ipard-vector-final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media.srbija.gov.rs/medsrp/slike/grbovi_zastave_standarte_srbije.zi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9626</Words>
  <Characters>54873</Characters>
  <Application>Microsoft Office Word</Application>
  <DocSecurity>0</DocSecurity>
  <Lines>457</Lines>
  <Paragraphs>128</Paragraphs>
  <ScaleCrop>false</ScaleCrop>
  <Company/>
  <LinksUpToDate>false</LinksUpToDate>
  <CharactersWithSpaces>64371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2021-05-31T07:25:00Z</dcterms:created>
  <dcterms:modified xsi:type="dcterms:W3CDTF">2021-05-31T07:25:00Z</dcterms:modified>
</cp:coreProperties>
</file>