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0D5529">
        <w:trPr>
          <w:cantSplit/>
        </w:trPr>
        <w:tc>
          <w:tcPr>
            <w:tcW w:w="3960" w:type="dxa"/>
            <w:shd w:val="clear" w:color="auto" w:fill="auto"/>
          </w:tcPr>
          <w:p w:rsidR="00462D5C" w:rsidRPr="001C043C" w:rsidRDefault="00D87AF4" w:rsidP="00DC13DD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1DA7314" wp14:editId="047D767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529" w:rsidRPr="001C043C" w:rsidRDefault="000D5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E61D68" w:rsidRPr="00F57529" w:rsidRDefault="00EB6C07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 w:rsidR="00475B33"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 w:rsidR="00475B33">
              <w:rPr>
                <w:b/>
                <w:sz w:val="20"/>
                <w:szCs w:val="20"/>
                <w:lang w:val="sr-Cyrl-RS"/>
              </w:rPr>
              <w:t>Е</w:t>
            </w:r>
            <w:r w:rsidR="00F57529">
              <w:rPr>
                <w:b/>
                <w:sz w:val="20"/>
                <w:szCs w:val="20"/>
                <w:lang w:val="sr-Latn-RS"/>
              </w:rPr>
              <w:t>,</w:t>
            </w:r>
          </w:p>
          <w:p w:rsidR="00475B33" w:rsidRPr="00F57529" w:rsidRDefault="00F57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94023D" w:rsidRPr="001C043C" w:rsidRDefault="00E61D68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94023D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="003E7EEA"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C56ACC">
              <w:rPr>
                <w:b/>
                <w:sz w:val="20"/>
                <w:szCs w:val="20"/>
                <w:lang w:val="sr-Cyrl-RS"/>
              </w:rPr>
              <w:t>5</w:t>
            </w:r>
            <w:r w:rsidR="00663301">
              <w:rPr>
                <w:b/>
                <w:sz w:val="20"/>
                <w:szCs w:val="20"/>
                <w:lang w:val="sr-Latn-RS"/>
              </w:rPr>
              <w:t>4</w:t>
            </w:r>
            <w:r w:rsidR="00580CFE"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C56ACC">
              <w:rPr>
                <w:b/>
                <w:sz w:val="20"/>
                <w:szCs w:val="20"/>
                <w:lang w:val="sr-Latn-RS"/>
              </w:rPr>
              <w:t>9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0D5529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FD182D">
              <w:rPr>
                <w:b/>
                <w:sz w:val="20"/>
                <w:szCs w:val="20"/>
              </w:rPr>
              <w:t>13</w:t>
            </w:r>
            <w:bookmarkStart w:id="0" w:name="_GoBack"/>
            <w:bookmarkEnd w:id="0"/>
            <w:r w:rsidR="00255179" w:rsidRPr="004B25ED">
              <w:rPr>
                <w:b/>
                <w:sz w:val="20"/>
                <w:szCs w:val="20"/>
                <w:lang w:val="sr-Cyrl-RS"/>
              </w:rPr>
              <w:t>.</w:t>
            </w:r>
            <w:r w:rsidR="00663301">
              <w:rPr>
                <w:b/>
                <w:sz w:val="20"/>
                <w:szCs w:val="20"/>
                <w:lang w:val="sr-Latn-RS"/>
              </w:rPr>
              <w:t>11</w:t>
            </w:r>
            <w:r w:rsidR="00255179" w:rsidRPr="004B25ED">
              <w:rPr>
                <w:b/>
                <w:sz w:val="20"/>
                <w:szCs w:val="20"/>
                <w:lang w:val="sr-Cyrl-RS"/>
              </w:rPr>
              <w:t>.201</w:t>
            </w:r>
            <w:r w:rsidR="00C56ACC" w:rsidRPr="004B25ED">
              <w:rPr>
                <w:b/>
                <w:sz w:val="20"/>
                <w:szCs w:val="20"/>
                <w:lang w:val="sr-Latn-RS"/>
              </w:rPr>
              <w:t>9</w:t>
            </w:r>
            <w:r w:rsidR="00D65054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9A2320" w:rsidRPr="001C043C" w:rsidRDefault="00475B33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9A2320" w:rsidRPr="001C043C" w:rsidRDefault="009A2320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26ABC" w:rsidRPr="007819D6" w:rsidRDefault="00F26ABC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D65054" w:rsidRPr="00384B13" w:rsidRDefault="00245855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ПОКРЕТАЊУ ПОСТУПКА</w:t>
      </w:r>
    </w:p>
    <w:p w:rsidR="007500F9" w:rsidRDefault="007500F9" w:rsidP="002D59E7">
      <w:pPr>
        <w:ind w:firstLine="720"/>
        <w:jc w:val="center"/>
        <w:rPr>
          <w:lang w:val="sr-Latn-RS"/>
        </w:rPr>
      </w:pPr>
    </w:p>
    <w:p w:rsidR="002D59E7" w:rsidRPr="00475B33" w:rsidRDefault="00580CFE" w:rsidP="002D59E7">
      <w:pPr>
        <w:ind w:firstLine="720"/>
        <w:jc w:val="center"/>
        <w:rPr>
          <w:lang w:val="sr-Cyrl-RS"/>
        </w:rPr>
      </w:pPr>
      <w:r>
        <w:rPr>
          <w:lang w:val="sr-Cyrl-RS"/>
        </w:rPr>
        <w:t>ЈН</w:t>
      </w:r>
      <w:r w:rsidR="009E5C62">
        <w:rPr>
          <w:lang w:val="sr-Cyrl-RS"/>
        </w:rPr>
        <w:t xml:space="preserve">ПП </w:t>
      </w:r>
      <w:r w:rsidR="00663301">
        <w:rPr>
          <w:lang w:val="sr-Latn-RS"/>
        </w:rPr>
        <w:t>2</w:t>
      </w:r>
      <w:r w:rsidR="00AA2655">
        <w:rPr>
          <w:lang w:val="sr-Cyrl-RS"/>
        </w:rPr>
        <w:t>/201</w:t>
      </w:r>
      <w:r w:rsidR="00C56ACC">
        <w:rPr>
          <w:lang w:val="sr-Latn-RS"/>
        </w:rPr>
        <w:t>9</w:t>
      </w:r>
      <w:r w:rsidR="00245855">
        <w:rPr>
          <w:lang w:val="sr-Cyrl-RS"/>
        </w:rPr>
        <w:t xml:space="preserve">, преговарачки поступак без објављивања позива за </w:t>
      </w:r>
      <w:r w:rsidR="00AF7A58">
        <w:rPr>
          <w:lang w:val="sr-Cyrl-RS"/>
        </w:rPr>
        <w:t>подношење понуда из чл.36. ст.1</w:t>
      </w:r>
      <w:r w:rsidR="00245855">
        <w:rPr>
          <w:lang w:val="sr-Cyrl-RS"/>
        </w:rPr>
        <w:t xml:space="preserve"> тач.2</w:t>
      </w:r>
      <w:r w:rsidR="003B5562">
        <w:rPr>
          <w:lang w:val="sr-Latn-RS"/>
        </w:rPr>
        <w:t>)</w:t>
      </w:r>
      <w:r w:rsidR="00245855">
        <w:rPr>
          <w:lang w:val="sr-Cyrl-RS"/>
        </w:rPr>
        <w:t xml:space="preserve"> Закона о јавним набавкама</w:t>
      </w:r>
    </w:p>
    <w:p w:rsidR="00AA2655" w:rsidRDefault="00AA2655" w:rsidP="002D59E7">
      <w:pPr>
        <w:rPr>
          <w:b/>
          <w:lang w:val="sr-Cyrl-RS"/>
        </w:rPr>
      </w:pPr>
    </w:p>
    <w:p w:rsidR="002D59E7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F57529">
        <w:rPr>
          <w:lang w:val="sr-Cyrl-RS"/>
        </w:rPr>
        <w:t>ивреде, шумарства и водопривреде</w:t>
      </w:r>
      <w:r>
        <w:rPr>
          <w:lang w:val="sr-Cyrl-RS"/>
        </w:rPr>
        <w:t xml:space="preserve"> – Управа за аграрна плаћања.</w:t>
      </w:r>
    </w:p>
    <w:p w:rsidR="00237A39" w:rsidRPr="00237A39" w:rsidRDefault="00237A39" w:rsidP="002D59E7"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>
        <w:t>.</w:t>
      </w:r>
    </w:p>
    <w:p w:rsidR="00237A39" w:rsidRDefault="00237A39" w:rsidP="002D59E7"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www.uap.gov.rs</w:t>
        </w:r>
      </w:hyperlink>
    </w:p>
    <w:p w:rsid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>
        <w:rPr>
          <w:lang w:val="sr-Cyrl-RS"/>
        </w:rPr>
        <w:t>: органи државне управе.</w:t>
      </w:r>
    </w:p>
    <w:p w:rsidR="00237A39" w:rsidRP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245855">
        <w:rPr>
          <w:lang w:val="sr-Cyrl-RS"/>
        </w:rPr>
        <w:t>: услуге</w:t>
      </w:r>
      <w:r>
        <w:rPr>
          <w:lang w:val="sr-Cyrl-RS"/>
        </w:rPr>
        <w:t>.</w:t>
      </w:r>
    </w:p>
    <w:p w:rsidR="00245855" w:rsidRDefault="00237A39" w:rsidP="00245855">
      <w:pPr>
        <w:jc w:val="both"/>
        <w:rPr>
          <w:rFonts w:eastAsia="Arial Unicode MS"/>
          <w:color w:val="000000"/>
          <w:kern w:val="1"/>
          <w:lang w:val="sr-Cyrl-RS" w:eastAsia="ar-SA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>
        <w:rPr>
          <w:lang w:val="sr-Cyrl-RS"/>
        </w:rPr>
        <w:t xml:space="preserve">:  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>услуге</w:t>
      </w:r>
      <w:r w:rsidR="00245855" w:rsidRPr="00245855">
        <w:rPr>
          <w:rFonts w:eastAsia="Arial Unicode MS"/>
          <w:iCs/>
          <w:color w:val="000000"/>
          <w:kern w:val="1"/>
          <w:lang w:val="sr-Cyrl-RS" w:eastAsia="ar-SA"/>
        </w:rPr>
        <w:t xml:space="preserve"> </w:t>
      </w:r>
      <w:r w:rsidR="00663301">
        <w:rPr>
          <w:bCs/>
          <w:color w:val="000000"/>
          <w:kern w:val="1"/>
          <w:lang w:val="sr-Cyrl-RS" w:eastAsia="ar-SA"/>
        </w:rPr>
        <w:t>за одржавање електронске писарнице</w:t>
      </w:r>
      <w:r w:rsidR="00663301" w:rsidRPr="00663301">
        <w:rPr>
          <w:lang w:val="sr-Cyrl-RS"/>
        </w:rPr>
        <w:t xml:space="preserve"> </w:t>
      </w:r>
      <w:r w:rsidR="00663301" w:rsidRPr="008348C0">
        <w:rPr>
          <w:lang w:val="sr-Cyrl-RS"/>
        </w:rPr>
        <w:t>са додатним унапређењем модула</w:t>
      </w:r>
      <w:r w:rsidR="00663301">
        <w:rPr>
          <w:lang w:val="sr-Cyrl-RS"/>
        </w:rPr>
        <w:t>.</w:t>
      </w:r>
      <w:r w:rsidR="00AA2655">
        <w:rPr>
          <w:bCs/>
          <w:color w:val="000000"/>
          <w:kern w:val="1"/>
          <w:lang w:val="sr-Cyrl-RS" w:eastAsia="ar-SA"/>
        </w:rPr>
        <w:t xml:space="preserve"> </w:t>
      </w:r>
      <w:r w:rsidR="00663301">
        <w:rPr>
          <w:rFonts w:eastAsia="Arial Unicode MS"/>
          <w:color w:val="000000"/>
          <w:kern w:val="1"/>
          <w:lang w:val="sr-Cyrl-RS" w:eastAsia="ar-SA"/>
        </w:rPr>
        <w:t>Ш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>ифр</w:t>
      </w:r>
      <w:r w:rsidR="00245855" w:rsidRPr="00245855">
        <w:rPr>
          <w:rFonts w:eastAsia="Arial Unicode MS"/>
          <w:color w:val="000000"/>
          <w:kern w:val="1"/>
          <w:lang w:val="sr-Latn-RS" w:eastAsia="ar-SA"/>
        </w:rPr>
        <w:t>a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 xml:space="preserve"> из Општег речника набавки </w:t>
      </w:r>
      <w:r w:rsidR="00245855" w:rsidRPr="00245855">
        <w:rPr>
          <w:rFonts w:eastAsia="Arial Unicode MS"/>
          <w:color w:val="000000"/>
          <w:kern w:val="1"/>
          <w:lang w:val="sr-Latn-RS" w:eastAsia="ar-SA"/>
        </w:rPr>
        <w:t>je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 xml:space="preserve"> 72261000-2 (услуге софтверске подршке).</w:t>
      </w:r>
    </w:p>
    <w:p w:rsidR="00663301" w:rsidRPr="00663301" w:rsidRDefault="00245855" w:rsidP="00663301">
      <w:pPr>
        <w:jc w:val="both"/>
        <w:rPr>
          <w:rFonts w:eastAsiaTheme="minorHAnsi" w:cstheme="minorBidi"/>
          <w:szCs w:val="22"/>
          <w:lang w:val="sr-Latn-RS"/>
        </w:rPr>
      </w:pPr>
      <w:r w:rsidRPr="00245855">
        <w:rPr>
          <w:rFonts w:eastAsia="Arial Unicode MS"/>
          <w:b/>
          <w:color w:val="000000"/>
          <w:kern w:val="1"/>
          <w:lang w:val="sr-Cyrl-RS" w:eastAsia="ar-SA"/>
        </w:rPr>
        <w:t>Основ за примену преговарачког поступка</w:t>
      </w:r>
      <w:r w:rsidRPr="00245855">
        <w:rPr>
          <w:rFonts w:eastAsia="Arial Unicode MS"/>
          <w:color w:val="000000"/>
          <w:kern w:val="1"/>
          <w:lang w:val="sr-Cyrl-RS" w:eastAsia="ar-SA"/>
        </w:rPr>
        <w:t>:</w:t>
      </w:r>
      <w:r w:rsidRPr="00245855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 w:rsidR="00663301" w:rsidRPr="00663301">
        <w:rPr>
          <w:rFonts w:eastAsiaTheme="minorHAnsi" w:cstheme="minorBidi"/>
          <w:szCs w:val="22"/>
          <w:lang w:val="sr-Latn-RS"/>
        </w:rPr>
        <w:t xml:space="preserve">Сарадња Министарства пољопривреде, шумарства и водопривреде, Управа за аграрна плаћања, са предузећем „Mega Computer Engineering“ д.о.о. започета је 2017. године приликом набавке 2 лиценце за електронску писарницу (уговор број 404-02-9/17-07 од 13.03.2017. године), након чега је услед објективних потреба за проширењем система и пуне експоатације истог путем јавне набавке мале вредности извршена набавка додатних лиценци (уговор број 404-02-38/2018-07 од 21.08.2018. године). Како је наведеним уговором дефинисан гарантни рок од 12 месеци на испоручене лиценце од дана испоруке истих, констатована је потреба за регулисањем одржавања система у циљу подршке несметаном функционисању свакодневних активности које се обављају кроз предметни систем - завођење свих писмена који стижу у УАП, унос основних података о предмету и прослеђивање референтима на решавање, затим праћење решавања предмета, рад референата на предмету, начини решавања и напослетку архивирање предмета. Одржавање и подршка несметаном функционисању система би се реализовали кроз интервентно, превентивно одржавање и надоградњу система. Надоградња постојећег система </w:t>
      </w:r>
      <w:r w:rsidR="00663301" w:rsidRPr="00663301">
        <w:rPr>
          <w:rFonts w:eastAsiaTheme="minorHAnsi" w:cstheme="minorBidi"/>
          <w:szCs w:val="22"/>
          <w:lang w:val="sr-Cyrl-RS"/>
        </w:rPr>
        <w:t>модулом</w:t>
      </w:r>
      <w:r w:rsidR="00663301" w:rsidRPr="00663301">
        <w:rPr>
          <w:rFonts w:eastAsiaTheme="minorHAnsi" w:cstheme="minorBidi"/>
          <w:szCs w:val="22"/>
          <w:lang w:val="sr-Latn-RS"/>
        </w:rPr>
        <w:t xml:space="preserve"> за евиденцију основних средстава је неопходна како би служба која је задужена за праћење основних средстава унапредила постојећи начин рада. Поред могућности евидентирања свих пословних догађаја у вези са прибављањем, активацијом, коришћењем основних средства, било би омогућено класификовање основних средстава по групама и подгрупама и задуживање радника одређеним основних средством. Веома важан сегмент је квалитетно </w:t>
      </w:r>
      <w:r w:rsidR="00663301" w:rsidRPr="00663301">
        <w:rPr>
          <w:rFonts w:eastAsiaTheme="minorHAnsi" w:cstheme="minorBidi"/>
          <w:szCs w:val="22"/>
          <w:lang w:val="sr-Latn-RS"/>
        </w:rPr>
        <w:lastRenderedPageBreak/>
        <w:t>и благовремено извештавање за потребе надлежних УАП (Картица ОС, Рекапитулације по различитим параметрима, Пописне листе, и слично).</w:t>
      </w:r>
    </w:p>
    <w:p w:rsidR="00663301" w:rsidRPr="00663301" w:rsidRDefault="00663301" w:rsidP="00663301">
      <w:pPr>
        <w:jc w:val="both"/>
        <w:rPr>
          <w:rFonts w:eastAsiaTheme="minorHAnsi" w:cstheme="minorBidi"/>
          <w:szCs w:val="22"/>
          <w:lang w:val="sr-Latn-RS"/>
        </w:rPr>
      </w:pPr>
      <w:r w:rsidRPr="00663301">
        <w:rPr>
          <w:rFonts w:eastAsiaTheme="minorHAnsi" w:cstheme="minorBidi"/>
          <w:szCs w:val="22"/>
          <w:lang w:val="sr-Latn-RS"/>
        </w:rPr>
        <w:t>Предузеће „Mega Computer Engineering“ д.о.о. је носилац ауторских права на рачунарском  програму под називом Интегрални информациони систем – Хермес</w:t>
      </w:r>
    </w:p>
    <w:p w:rsidR="00A50E03" w:rsidRDefault="00AA2655" w:rsidP="00AA2655">
      <w:pPr>
        <w:jc w:val="both"/>
        <w:rPr>
          <w:b/>
          <w:lang w:val="sr-Latn-RS"/>
        </w:rPr>
      </w:pPr>
      <w:r w:rsidRPr="00F321CC">
        <w:rPr>
          <w:b/>
          <w:lang w:val="sr-Cyrl-RS"/>
        </w:rPr>
        <w:t>Број мишљења за основаност примене преговарачког поступка без објављивања позива за подношење понуда из чл.36. ст.1. тач. 2. Закона о јавним набавкама</w:t>
      </w:r>
      <w:r w:rsidR="00F57529">
        <w:rPr>
          <w:lang w:val="sr-Cyrl-RS"/>
        </w:rPr>
        <w:t xml:space="preserve">: </w:t>
      </w:r>
      <w:r w:rsidR="00C56ACC">
        <w:rPr>
          <w:lang w:val="sr-Cyrl-RS"/>
        </w:rPr>
        <w:t>404-02-</w:t>
      </w:r>
      <w:r w:rsidR="00663301">
        <w:rPr>
          <w:lang w:val="sr-Latn-RS"/>
        </w:rPr>
        <w:t>4</w:t>
      </w:r>
      <w:r w:rsidR="00663301">
        <w:rPr>
          <w:lang w:val="sr-Cyrl-RS"/>
        </w:rPr>
        <w:t>603</w:t>
      </w:r>
      <w:r w:rsidR="00C56ACC">
        <w:rPr>
          <w:lang w:val="sr-Cyrl-RS"/>
        </w:rPr>
        <w:t>/1</w:t>
      </w:r>
      <w:r w:rsidR="00C56ACC">
        <w:rPr>
          <w:lang w:val="sr-Latn-RS"/>
        </w:rPr>
        <w:t>9</w:t>
      </w:r>
      <w:r w:rsidR="00A50E03">
        <w:rPr>
          <w:lang w:val="sr-Cyrl-RS"/>
        </w:rPr>
        <w:t xml:space="preserve"> од</w:t>
      </w:r>
      <w:r w:rsidR="00A50E03">
        <w:t xml:space="preserve"> </w:t>
      </w:r>
      <w:r w:rsidR="00663301">
        <w:rPr>
          <w:lang w:val="sr-Cyrl-RS"/>
        </w:rPr>
        <w:t>18</w:t>
      </w:r>
      <w:r w:rsidR="00C56ACC">
        <w:rPr>
          <w:lang w:val="sr-Cyrl-RS"/>
        </w:rPr>
        <w:t>.</w:t>
      </w:r>
      <w:r w:rsidR="00C56ACC">
        <w:rPr>
          <w:lang w:val="sr-Latn-RS"/>
        </w:rPr>
        <w:t>10</w:t>
      </w:r>
      <w:r w:rsidR="00C56ACC">
        <w:rPr>
          <w:lang w:val="sr-Cyrl-RS"/>
        </w:rPr>
        <w:t>.201</w:t>
      </w:r>
      <w:r w:rsidR="00C56ACC">
        <w:rPr>
          <w:lang w:val="sr-Latn-RS"/>
        </w:rPr>
        <w:t>9</w:t>
      </w:r>
      <w:r w:rsidR="00A50E03">
        <w:rPr>
          <w:lang w:val="sr-Cyrl-RS"/>
        </w:rPr>
        <w:t>. године</w:t>
      </w:r>
      <w:r w:rsidR="00A50E03">
        <w:rPr>
          <w:lang w:val="sr-Latn-RS"/>
        </w:rPr>
        <w:t>.</w:t>
      </w:r>
      <w:r w:rsidR="00A50E03" w:rsidRPr="00245855">
        <w:rPr>
          <w:b/>
          <w:lang w:val="sr-Cyrl-RS"/>
        </w:rPr>
        <w:t xml:space="preserve"> </w:t>
      </w:r>
    </w:p>
    <w:p w:rsidR="00663301" w:rsidRPr="00663301" w:rsidRDefault="00663301" w:rsidP="00663301">
      <w:pPr>
        <w:tabs>
          <w:tab w:val="left" w:pos="1418"/>
        </w:tabs>
        <w:jc w:val="both"/>
        <w:rPr>
          <w:lang w:val="sr-Cyrl-RS"/>
        </w:rPr>
      </w:pPr>
      <w:r>
        <w:rPr>
          <w:b/>
          <w:lang w:val="sr-Cyrl-RS"/>
        </w:rPr>
        <w:t>Назив и адреса понуђача</w:t>
      </w:r>
      <w:r w:rsidR="00245855" w:rsidRPr="00245855">
        <w:rPr>
          <w:b/>
          <w:lang w:val="sr-Cyrl-RS"/>
        </w:rPr>
        <w:t xml:space="preserve"> којем се шаље позив за подношење понуда</w:t>
      </w:r>
      <w:r w:rsidR="00245855" w:rsidRPr="00245855">
        <w:rPr>
          <w:lang w:val="sr-Cyrl-RS"/>
        </w:rPr>
        <w:t>:</w:t>
      </w:r>
      <w:r w:rsidR="00245855">
        <w:rPr>
          <w:lang w:val="sr-Cyrl-RS"/>
        </w:rPr>
        <w:t xml:space="preserve"> </w:t>
      </w:r>
      <w:r w:rsidRPr="00663301">
        <w:rPr>
          <w:b/>
          <w:lang w:val="sr-Cyrl-RS"/>
        </w:rPr>
        <w:t xml:space="preserve">„MEGA COMPUTER ENGINEERING“ д.о.о. </w:t>
      </w:r>
      <w:r w:rsidRPr="00663301">
        <w:rPr>
          <w:lang w:val="sr-Cyrl-RS"/>
        </w:rPr>
        <w:t>са седиштем у Београду, ул. Мис Ирбијеве бр.48г, ПИБ: 101744114, МБ: 07753594.</w:t>
      </w:r>
      <w:r w:rsidRPr="00663301">
        <w:t xml:space="preserve">            </w:t>
      </w:r>
    </w:p>
    <w:p w:rsidR="00E72D6A" w:rsidRDefault="00E72D6A" w:rsidP="00245855">
      <w:pPr>
        <w:jc w:val="both"/>
        <w:rPr>
          <w:lang w:val="sr-Cyrl-RS"/>
        </w:rPr>
      </w:pPr>
    </w:p>
    <w:p w:rsidR="00E72D6A" w:rsidRDefault="00E72D6A" w:rsidP="00245855">
      <w:pPr>
        <w:jc w:val="both"/>
        <w:rPr>
          <w:lang w:val="sr-Cyrl-RS"/>
        </w:rPr>
      </w:pPr>
    </w:p>
    <w:p w:rsidR="00E72D6A" w:rsidRPr="00245855" w:rsidRDefault="00E72D6A" w:rsidP="00245855">
      <w:pPr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63301">
        <w:rPr>
          <w:lang w:val="sr-Cyrl-RS"/>
        </w:rPr>
        <w:tab/>
      </w:r>
      <w:r>
        <w:rPr>
          <w:lang w:val="sr-Cyrl-RS"/>
        </w:rPr>
        <w:t>КОМИСИЈА</w:t>
      </w:r>
    </w:p>
    <w:p w:rsidR="00245855" w:rsidRPr="00245855" w:rsidRDefault="00245855" w:rsidP="00245855">
      <w:pPr>
        <w:jc w:val="both"/>
        <w:rPr>
          <w:rFonts w:eastAsia="Arial Unicode MS"/>
          <w:b/>
          <w:color w:val="000000"/>
          <w:kern w:val="1"/>
          <w:lang w:val="sr-Cyrl-RS" w:eastAsia="ar-SA"/>
        </w:rPr>
      </w:pPr>
    </w:p>
    <w:p w:rsidR="000F086A" w:rsidRPr="000E6F9D" w:rsidRDefault="000F086A" w:rsidP="00B7072A">
      <w:pPr>
        <w:jc w:val="right"/>
        <w:rPr>
          <w:b/>
          <w:lang w:val="sr-Cyrl-RS"/>
        </w:rPr>
      </w:pP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A38AC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21182"/>
    <w:rsid w:val="00221AEF"/>
    <w:rsid w:val="002269E6"/>
    <w:rsid w:val="00237A39"/>
    <w:rsid w:val="00245855"/>
    <w:rsid w:val="00255179"/>
    <w:rsid w:val="00256984"/>
    <w:rsid w:val="002762F9"/>
    <w:rsid w:val="0027669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84B13"/>
    <w:rsid w:val="003B2C6C"/>
    <w:rsid w:val="003B5562"/>
    <w:rsid w:val="003C1054"/>
    <w:rsid w:val="003D2B0F"/>
    <w:rsid w:val="003D68ED"/>
    <w:rsid w:val="003E7EEA"/>
    <w:rsid w:val="00451BED"/>
    <w:rsid w:val="004524A2"/>
    <w:rsid w:val="00462D5C"/>
    <w:rsid w:val="0046388D"/>
    <w:rsid w:val="00467351"/>
    <w:rsid w:val="00475B33"/>
    <w:rsid w:val="00485F67"/>
    <w:rsid w:val="0049791A"/>
    <w:rsid w:val="004B25ED"/>
    <w:rsid w:val="004C3A8A"/>
    <w:rsid w:val="004F1329"/>
    <w:rsid w:val="004F6A66"/>
    <w:rsid w:val="00504F4D"/>
    <w:rsid w:val="00517E91"/>
    <w:rsid w:val="00522B29"/>
    <w:rsid w:val="005300BC"/>
    <w:rsid w:val="005435CF"/>
    <w:rsid w:val="005453F2"/>
    <w:rsid w:val="00551F11"/>
    <w:rsid w:val="0055729C"/>
    <w:rsid w:val="00580CFE"/>
    <w:rsid w:val="0058271C"/>
    <w:rsid w:val="00586F2B"/>
    <w:rsid w:val="005A0F22"/>
    <w:rsid w:val="005E04E0"/>
    <w:rsid w:val="005E5573"/>
    <w:rsid w:val="006068E2"/>
    <w:rsid w:val="006438D1"/>
    <w:rsid w:val="00645AA4"/>
    <w:rsid w:val="00663301"/>
    <w:rsid w:val="006D3EDB"/>
    <w:rsid w:val="006F6A5B"/>
    <w:rsid w:val="00714A48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F3599"/>
    <w:rsid w:val="00812DDB"/>
    <w:rsid w:val="00837E30"/>
    <w:rsid w:val="00851112"/>
    <w:rsid w:val="00851A0D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E2A03"/>
    <w:rsid w:val="008F440A"/>
    <w:rsid w:val="0090154B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B694E"/>
    <w:rsid w:val="009C0219"/>
    <w:rsid w:val="009D6BF2"/>
    <w:rsid w:val="009E0580"/>
    <w:rsid w:val="009E5C62"/>
    <w:rsid w:val="009F3DA9"/>
    <w:rsid w:val="00A016E0"/>
    <w:rsid w:val="00A34A93"/>
    <w:rsid w:val="00A50E03"/>
    <w:rsid w:val="00A51178"/>
    <w:rsid w:val="00A73704"/>
    <w:rsid w:val="00A8147D"/>
    <w:rsid w:val="00A970E6"/>
    <w:rsid w:val="00AA2655"/>
    <w:rsid w:val="00AD2278"/>
    <w:rsid w:val="00AD67F4"/>
    <w:rsid w:val="00AE03FD"/>
    <w:rsid w:val="00AF7A58"/>
    <w:rsid w:val="00B02620"/>
    <w:rsid w:val="00B12F0A"/>
    <w:rsid w:val="00B7072A"/>
    <w:rsid w:val="00BA240A"/>
    <w:rsid w:val="00BC7602"/>
    <w:rsid w:val="00BC7904"/>
    <w:rsid w:val="00BD534F"/>
    <w:rsid w:val="00C042B1"/>
    <w:rsid w:val="00C35ADE"/>
    <w:rsid w:val="00C56ACC"/>
    <w:rsid w:val="00C773FF"/>
    <w:rsid w:val="00C854F0"/>
    <w:rsid w:val="00C92246"/>
    <w:rsid w:val="00C97E72"/>
    <w:rsid w:val="00CB0FC6"/>
    <w:rsid w:val="00CB36C3"/>
    <w:rsid w:val="00CE07D5"/>
    <w:rsid w:val="00CE720C"/>
    <w:rsid w:val="00D338F7"/>
    <w:rsid w:val="00D34078"/>
    <w:rsid w:val="00D45F4A"/>
    <w:rsid w:val="00D5141E"/>
    <w:rsid w:val="00D61499"/>
    <w:rsid w:val="00D6199A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E13D36"/>
    <w:rsid w:val="00E37742"/>
    <w:rsid w:val="00E37BBD"/>
    <w:rsid w:val="00E40F8E"/>
    <w:rsid w:val="00E47F29"/>
    <w:rsid w:val="00E575FD"/>
    <w:rsid w:val="00E61D68"/>
    <w:rsid w:val="00E66E2D"/>
    <w:rsid w:val="00E70D0D"/>
    <w:rsid w:val="00E72D6A"/>
    <w:rsid w:val="00EB6C07"/>
    <w:rsid w:val="00F249C5"/>
    <w:rsid w:val="00F26ABC"/>
    <w:rsid w:val="00F45777"/>
    <w:rsid w:val="00F57529"/>
    <w:rsid w:val="00F7488F"/>
    <w:rsid w:val="00FA22BF"/>
    <w:rsid w:val="00FA5735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3146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14</cp:revision>
  <cp:lastPrinted>2014-03-25T08:55:00Z</cp:lastPrinted>
  <dcterms:created xsi:type="dcterms:W3CDTF">2016-07-06T12:08:00Z</dcterms:created>
  <dcterms:modified xsi:type="dcterms:W3CDTF">2019-11-12T11:43:00Z</dcterms:modified>
</cp:coreProperties>
</file>