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89" w:rsidRPr="00673EE4" w:rsidRDefault="007D5789" w:rsidP="00C47BAB">
      <w:pPr>
        <w:pStyle w:val="Heading1"/>
        <w:keepNext w:val="0"/>
        <w:keepLines w:val="0"/>
        <w:pBdr>
          <w:top w:val="single" w:sz="24" w:space="0" w:color="B83D68" w:themeColor="accent1"/>
          <w:left w:val="single" w:sz="24" w:space="0" w:color="B83D68" w:themeColor="accent1"/>
          <w:bottom w:val="single" w:sz="24" w:space="0" w:color="B83D68" w:themeColor="accent1"/>
          <w:right w:val="single" w:sz="24" w:space="0" w:color="B83D68" w:themeColor="accent1"/>
        </w:pBdr>
        <w:shd w:val="clear" w:color="auto" w:fill="B83D68" w:themeFill="accent1"/>
        <w:spacing w:before="200"/>
        <w:ind w:right="143"/>
        <w:jc w:val="center"/>
        <w:rPr>
          <w:rFonts w:eastAsiaTheme="minorEastAsia" w:cstheme="minorBidi"/>
          <w:caps/>
          <w:color w:val="FFFFFF" w:themeColor="background1"/>
          <w:spacing w:val="15"/>
          <w:sz w:val="22"/>
          <w:szCs w:val="22"/>
          <w:lang w:bidi="en-US"/>
        </w:rPr>
      </w:pPr>
      <w:bookmarkStart w:id="0" w:name="_Toc495782247"/>
      <w:r w:rsidRPr="00673EE4">
        <w:rPr>
          <w:rFonts w:eastAsiaTheme="minorEastAsia" w:cstheme="minorBidi"/>
          <w:caps/>
          <w:color w:val="FFFFFF" w:themeColor="background1"/>
          <w:spacing w:val="15"/>
          <w:sz w:val="22"/>
          <w:szCs w:val="22"/>
          <w:lang w:bidi="en-US"/>
        </w:rPr>
        <w:t>ЛИСТА ПРИХВАТЉИВИХ ИНВЕСТИЦИЈА И ТРОШКОВА</w:t>
      </w:r>
    </w:p>
    <w:tbl>
      <w:tblPr>
        <w:tblStyle w:val="LightGrid-Accent2"/>
        <w:tblpPr w:leftFromText="180" w:rightFromText="180" w:vertAnchor="text" w:horzAnchor="margin" w:tblpX="74" w:tblpY="267"/>
        <w:tblW w:w="0" w:type="auto"/>
        <w:tblLook w:val="00A0" w:firstRow="1" w:lastRow="0" w:firstColumn="1" w:lastColumn="0" w:noHBand="0" w:noVBand="0"/>
      </w:tblPr>
      <w:tblGrid>
        <w:gridCol w:w="9180"/>
      </w:tblGrid>
      <w:tr w:rsidR="007D5789" w:rsidRPr="00673EE4" w:rsidTr="00C47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7D5789" w:rsidRPr="00673EE4" w:rsidRDefault="007D5789" w:rsidP="00C47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E4">
              <w:rPr>
                <w:rFonts w:ascii="Times New Roman" w:hAnsi="Times New Roman"/>
                <w:sz w:val="24"/>
                <w:szCs w:val="24"/>
              </w:rPr>
              <w:t>2. ОП</w:t>
            </w:r>
            <w:bookmarkStart w:id="1" w:name="bookmark6"/>
            <w:bookmarkEnd w:id="1"/>
            <w:r w:rsidRPr="00673EE4">
              <w:rPr>
                <w:rFonts w:ascii="Times New Roman" w:hAnsi="Times New Roman"/>
                <w:sz w:val="24"/>
                <w:szCs w:val="24"/>
              </w:rPr>
              <w:t>ШТИ ТРОШАК</w:t>
            </w:r>
          </w:p>
        </w:tc>
      </w:tr>
      <w:tr w:rsidR="007D5789" w:rsidRPr="00673EE4" w:rsidTr="00C4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7D5789" w:rsidRPr="00673EE4" w:rsidRDefault="007D5789" w:rsidP="00C47BAB">
            <w:pPr>
              <w:jc w:val="both"/>
              <w:rPr>
                <w:rFonts w:ascii="Times New Roman" w:hAnsi="Times New Roman"/>
                <w:b w:val="0"/>
              </w:rPr>
            </w:pPr>
            <w:r w:rsidRPr="00673EE4">
              <w:rPr>
                <w:rFonts w:ascii="Times New Roman" w:hAnsi="Times New Roman"/>
                <w:b w:val="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</w:t>
            </w:r>
          </w:p>
          <w:p w:rsidR="007D5789" w:rsidRPr="00673EE4" w:rsidRDefault="007D5789" w:rsidP="00C47BAB">
            <w:pPr>
              <w:jc w:val="both"/>
              <w:rPr>
                <w:rFonts w:ascii="Times New Roman" w:hAnsi="Times New Roman"/>
                <w:b w:val="0"/>
              </w:rPr>
            </w:pPr>
            <w:r w:rsidRPr="00673EE4">
              <w:rPr>
                <w:rFonts w:ascii="Times New Roman" w:hAnsi="Times New Roman"/>
                <w:b w:val="0"/>
              </w:rPr>
              <w:t>2.2. Трошкови израде студије о процени утицаја на животну средину</w:t>
            </w:r>
          </w:p>
          <w:p w:rsidR="007D5789" w:rsidRPr="00673EE4" w:rsidRDefault="007D5789" w:rsidP="00C47BAB">
            <w:pPr>
              <w:jc w:val="both"/>
              <w:rPr>
                <w:rFonts w:ascii="Times New Roman" w:hAnsi="Times New Roman"/>
                <w:b w:val="0"/>
              </w:rPr>
            </w:pPr>
            <w:r w:rsidRPr="00673EE4">
              <w:rPr>
                <w:rFonts w:ascii="Times New Roman" w:hAnsi="Times New Roman"/>
                <w:b w:val="0"/>
              </w:rPr>
              <w:t>2.3. Трошкови припреме документације за ИПАРД подстицаје (консултантске услуге)</w:t>
            </w:r>
          </w:p>
          <w:p w:rsidR="007D5789" w:rsidRPr="00673EE4" w:rsidRDefault="007D5789" w:rsidP="0067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E4">
              <w:rPr>
                <w:rFonts w:ascii="Times New Roman" w:hAnsi="Times New Roman"/>
                <w:b w:val="0"/>
              </w:rPr>
              <w:t>2.4. Студије изводљивости и друге студије у вези са пројектом/пословни (</w:t>
            </w:r>
            <w:r w:rsidR="00673EE4" w:rsidRPr="00673EE4">
              <w:rPr>
                <w:rFonts w:ascii="Times New Roman" w:hAnsi="Times New Roman"/>
                <w:b w:val="0"/>
                <w:lang w:val="sr-Cyrl-RS"/>
              </w:rPr>
              <w:t>бизнис</w:t>
            </w:r>
            <w:r w:rsidRPr="00673EE4">
              <w:rPr>
                <w:rFonts w:ascii="Times New Roman" w:hAnsi="Times New Roman"/>
                <w:b w:val="0"/>
              </w:rPr>
              <w:t>) планови</w:t>
            </w:r>
          </w:p>
        </w:tc>
      </w:tr>
    </w:tbl>
    <w:p w:rsidR="007D5789" w:rsidRPr="00673EE4" w:rsidRDefault="007D5789" w:rsidP="00FA062A">
      <w:pPr>
        <w:pStyle w:val="NoSpacing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2"/>
        <w:tblW w:w="9269" w:type="dxa"/>
        <w:tblLook w:val="00A0" w:firstRow="1" w:lastRow="0" w:firstColumn="1" w:lastColumn="0" w:noHBand="0" w:noVBand="0"/>
      </w:tblPr>
      <w:tblGrid>
        <w:gridCol w:w="9269"/>
      </w:tblGrid>
      <w:tr w:rsidR="007D5789" w:rsidRPr="00673EE4" w:rsidTr="00FA0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</w:tcPr>
          <w:p w:rsidR="007D5789" w:rsidRPr="00673EE4" w:rsidRDefault="007D5789" w:rsidP="00E60421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73EE4">
              <w:rPr>
                <w:rFonts w:ascii="Times New Roman" w:hAnsi="Times New Roman"/>
              </w:rPr>
              <w:t>ЛИСТА ПРИХВАТЉИВИХ ТРОШКОВА У ВЕЗИ СА ИЗГРАДЊОМ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</w:tcPr>
          <w:p w:rsidR="007D5789" w:rsidRPr="00673EE4" w:rsidRDefault="007D5789" w:rsidP="00E60421">
            <w:pPr>
              <w:ind w:left="-108" w:firstLine="108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73EE4">
              <w:rPr>
                <w:rFonts w:ascii="Times New Roman" w:hAnsi="Times New Roman"/>
              </w:rPr>
              <w:t>4</w:t>
            </w:r>
            <w:r w:rsidRPr="00673EE4">
              <w:rPr>
                <w:rFonts w:ascii="Times New Roman" w:hAnsi="Times New Roman"/>
                <w:lang w:val="en-GB"/>
              </w:rPr>
              <w:t xml:space="preserve">. </w:t>
            </w:r>
            <w:r w:rsidRPr="00673EE4">
              <w:rPr>
                <w:rFonts w:ascii="Times New Roman" w:hAnsi="Times New Roman"/>
              </w:rPr>
              <w:t>ГРАЂЕВИНСКИ РАДОВИ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</w:tcPr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4.1. Припремни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4.2. Рушење и демонтажа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4.3. Земљани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4.4. Бетонски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4.5. Армирано-бетонски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4.6. Инсталатерски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4.7. Столарски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4.8. Зидарски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4.9. Изолациони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4.10. Кровнопокривачки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eastAsia="MS Mincho" w:hAnsi="Times New Roman"/>
                <w:b w:val="0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b w:val="0"/>
                <w:lang w:eastAsia="ja-JP"/>
              </w:rPr>
              <w:t>4.11. Готове конструкције и елементи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</w:tcPr>
          <w:p w:rsidR="007D5789" w:rsidRPr="00673EE4" w:rsidRDefault="007D5789" w:rsidP="00E60421">
            <w:pPr>
              <w:jc w:val="center"/>
              <w:rPr>
                <w:rFonts w:ascii="Times New Roman" w:hAnsi="Times New Roman"/>
              </w:rPr>
            </w:pPr>
            <w:r w:rsidRPr="00673EE4">
              <w:rPr>
                <w:rFonts w:ascii="Times New Roman" w:hAnsi="Times New Roman"/>
              </w:rPr>
              <w:t>5.2</w:t>
            </w:r>
            <w:r w:rsidRPr="00673EE4">
              <w:rPr>
                <w:rFonts w:ascii="Times New Roman" w:hAnsi="Times New Roman"/>
                <w:lang w:val="en-GB"/>
              </w:rPr>
              <w:t>.</w:t>
            </w:r>
            <w:r w:rsidRPr="00673EE4">
              <w:rPr>
                <w:rFonts w:ascii="Times New Roman" w:hAnsi="Times New Roman"/>
              </w:rPr>
              <w:t xml:space="preserve"> ЗАНАТСКИ РАДОВИ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</w:tcPr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5.1. Лимарски радови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5.2. Столарски радови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5.3. Браварски радови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</w:t>
            </w:r>
            <w:r w:rsidRPr="00673EE4">
              <w:rPr>
                <w:rFonts w:ascii="Times New Roman" w:hAnsi="Times New Roman"/>
                <w:b w:val="0"/>
                <w:lang w:val="en-GB"/>
              </w:rPr>
              <w:t xml:space="preserve">.4. </w:t>
            </w:r>
            <w:r w:rsidRPr="00673EE4">
              <w:rPr>
                <w:rFonts w:ascii="Times New Roman" w:hAnsi="Times New Roman"/>
                <w:b w:val="0"/>
              </w:rPr>
              <w:t>Стаклорезачки радови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5.5. Гипсани радови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5.6. Подне и зидне облоге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5.7. Каменорезачки радови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5.8. Керамички радови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5.9. Паркетарски радови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5.10. Молерски радови и тапацирање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5.11. Фасадни радови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</w:tcPr>
          <w:p w:rsidR="007D5789" w:rsidRPr="00673EE4" w:rsidRDefault="007D5789" w:rsidP="00E60421">
            <w:pPr>
              <w:jc w:val="center"/>
              <w:rPr>
                <w:rFonts w:ascii="Times New Roman" w:hAnsi="Times New Roman"/>
              </w:rPr>
            </w:pPr>
            <w:r w:rsidRPr="00673EE4">
              <w:rPr>
                <w:rFonts w:ascii="Times New Roman" w:hAnsi="Times New Roman"/>
              </w:rPr>
              <w:t>6</w:t>
            </w:r>
            <w:r w:rsidRPr="00673EE4">
              <w:rPr>
                <w:rFonts w:ascii="Times New Roman" w:hAnsi="Times New Roman"/>
                <w:lang w:val="en-GB"/>
              </w:rPr>
              <w:t xml:space="preserve">. </w:t>
            </w:r>
            <w:r w:rsidRPr="00673EE4">
              <w:rPr>
                <w:rFonts w:ascii="Times New Roman" w:hAnsi="Times New Roman"/>
              </w:rPr>
              <w:t>МОНТАЖНИ РАДОВИ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</w:tcPr>
          <w:p w:rsidR="007D5789" w:rsidRPr="00673EE4" w:rsidRDefault="007D5789" w:rsidP="00E60421">
            <w:pPr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6.1. Електро-инсталациони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6.2. Водоводни и канализациони радови</w:t>
            </w:r>
          </w:p>
          <w:p w:rsidR="007D5789" w:rsidRPr="00673EE4" w:rsidRDefault="007D5789" w:rsidP="00E60421">
            <w:pPr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6.3. Гасне инсталације</w:t>
            </w:r>
          </w:p>
          <w:p w:rsidR="007D5789" w:rsidRPr="00673EE4" w:rsidRDefault="007D5789" w:rsidP="00E60421">
            <w:pPr>
              <w:jc w:val="both"/>
              <w:rPr>
                <w:rFonts w:ascii="Times New Roman" w:hAnsi="Times New Roman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6.4. Инсталације централног грејања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</w:tcPr>
          <w:p w:rsidR="007D5789" w:rsidRPr="00673EE4" w:rsidRDefault="007D5789" w:rsidP="00E60421">
            <w:pPr>
              <w:tabs>
                <w:tab w:val="center" w:pos="4415"/>
                <w:tab w:val="right" w:pos="8830"/>
              </w:tabs>
              <w:rPr>
                <w:rFonts w:ascii="Times New Roman" w:hAnsi="Times New Roman"/>
              </w:rPr>
            </w:pPr>
            <w:r w:rsidRPr="00673EE4">
              <w:rPr>
                <w:rFonts w:ascii="Times New Roman" w:hAnsi="Times New Roman"/>
              </w:rPr>
              <w:tab/>
              <w:t>8</w:t>
            </w:r>
            <w:r w:rsidRPr="00673EE4">
              <w:rPr>
                <w:rFonts w:ascii="Times New Roman" w:hAnsi="Times New Roman"/>
                <w:lang w:val="en-GB"/>
              </w:rPr>
              <w:t xml:space="preserve">. </w:t>
            </w:r>
            <w:r w:rsidRPr="00673EE4">
              <w:rPr>
                <w:rFonts w:ascii="Times New Roman" w:hAnsi="Times New Roman"/>
              </w:rPr>
              <w:t>ПЕЈЗАЖНИ РАДОВИ И ПРИЛАЗНИ ПУТЕВИ</w:t>
            </w:r>
            <w:r w:rsidRPr="00673EE4">
              <w:rPr>
                <w:rFonts w:ascii="Times New Roman" w:hAnsi="Times New Roman"/>
              </w:rPr>
              <w:tab/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</w:tcPr>
          <w:p w:rsidR="007D5789" w:rsidRPr="00673EE4" w:rsidRDefault="007D5789" w:rsidP="00E60421">
            <w:pPr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8.1. Уређење екстеријера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8.2. Изградња унутрашњих путева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8.3. Потпорни и заштитни зидови</w:t>
            </w:r>
          </w:p>
          <w:p w:rsidR="007D5789" w:rsidRPr="00673EE4" w:rsidRDefault="007D5789" w:rsidP="00E60421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8.4. Асфалтирање</w:t>
            </w:r>
          </w:p>
        </w:tc>
      </w:tr>
    </w:tbl>
    <w:p w:rsidR="007D5789" w:rsidRPr="00673EE4" w:rsidRDefault="007D5789" w:rsidP="00FA062A">
      <w:pPr>
        <w:pStyle w:val="Heading2"/>
        <w:jc w:val="center"/>
      </w:pPr>
      <w:r w:rsidRPr="00673EE4">
        <w:lastRenderedPageBreak/>
        <w:t>Прихватљивих трошкова по секторима улагања</w:t>
      </w:r>
      <w:bookmarkEnd w:id="0"/>
    </w:p>
    <w:p w:rsidR="007D5789" w:rsidRPr="00673EE4" w:rsidRDefault="007D5789" w:rsidP="007D5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ghtGrid-Accent2"/>
        <w:tblW w:w="9176" w:type="dxa"/>
        <w:tblLook w:val="00A0" w:firstRow="1" w:lastRow="0" w:firstColumn="1" w:lastColumn="0" w:noHBand="0" w:noVBand="0"/>
      </w:tblPr>
      <w:tblGrid>
        <w:gridCol w:w="9176"/>
      </w:tblGrid>
      <w:tr w:rsidR="007D5789" w:rsidRPr="00673EE4" w:rsidTr="00FA0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E60421">
            <w:pPr>
              <w:jc w:val="center"/>
              <w:rPr>
                <w:rFonts w:ascii="Times New Roman" w:eastAsia="MS Mincho" w:hAnsi="Times New Roman"/>
                <w:bCs w:val="0"/>
                <w:iCs/>
                <w:sz w:val="24"/>
                <w:szCs w:val="24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3.1. СЕКТОР МЛЕКА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pStyle w:val="ListParagraph"/>
              <w:numPr>
                <w:ilvl w:val="2"/>
                <w:numId w:val="1"/>
              </w:numPr>
              <w:jc w:val="center"/>
              <w:rPr>
                <w:rFonts w:ascii="Times New Roman" w:eastAsia="MS Mincho" w:hAnsi="Times New Roman"/>
                <w:bCs w:val="0"/>
                <w:iCs/>
                <w:sz w:val="24"/>
                <w:szCs w:val="24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Изградња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Изградња објеката за прераду млека и млечних производа и сабирних центара (пријем сировина); термичка обрада (пастеризација/стерилизација/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sr-Cyrl-RS" w:eastAsia="ja-JP"/>
              </w:rPr>
              <w:t xml:space="preserve"> </w:t>
            </w:r>
            <w:r w:rsidRPr="00673EE4">
              <w:rPr>
                <w:rFonts w:ascii="Times New Roman" w:eastAsia="MS Mincho" w:hAnsi="Times New Roman" w:cs="Times New Roman"/>
                <w:b w:val="0"/>
                <w:i/>
                <w:iCs/>
                <w:lang w:eastAsia="ja-JP"/>
              </w:rPr>
              <w:t>UHT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/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sr-Cyrl-RS" w:eastAsia="ja-JP"/>
              </w:rPr>
              <w:t xml:space="preserve">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ферментација);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sr-Cyrl-RS" w:eastAsia="ja-JP"/>
              </w:rPr>
              <w:t xml:space="preserve">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хлађење и складиштење готових производа; паковање и дистрибуција; санитарна опрема (</w:t>
            </w:r>
            <w:r w:rsidRPr="00673EE4">
              <w:rPr>
                <w:rFonts w:ascii="Times New Roman" w:eastAsia="MS Mincho" w:hAnsi="Times New Roman" w:cs="Times New Roman"/>
                <w:b w:val="0"/>
                <w:i/>
                <w:iCs/>
                <w:lang w:val="en-GB" w:eastAsia="ja-JP"/>
              </w:rPr>
              <w:t>CIP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 систем); складиштење санитарне опреме и санитарних производа; складиштење полупроизвода анималног порекла који нису намењени за људску исхрану (затворени контејнери – посуђе); складиштење материјала за паковање и адитива; објекти за инсталацију вентилације и климатизације, хлађења и грејања; споредни енергетски објекти; изградња и/или реконструкција водовода (укључујући бунаре), система за снабдевање гасом, електричном енергијом (укључујући агрегате) и канализациони систем 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Изградња објеката или покривених простора за чишћење и дезинфекцију возила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Изградња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управне зграде са пратећим објектима</w:t>
            </w:r>
            <w:r w:rsidRPr="00673EE4">
              <w:rPr>
                <w:rStyle w:val="hps"/>
                <w:rFonts w:ascii="Times New Roman" w:hAnsi="Times New Roman" w:cs="Times New Roman"/>
                <w:b w:val="0"/>
                <w:lang w:val="en-GB"/>
              </w:rPr>
              <w:t xml:space="preserve"> (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канцеларије</w:t>
            </w:r>
            <w:r w:rsidRPr="00673EE4">
              <w:rPr>
                <w:rStyle w:val="hps"/>
                <w:rFonts w:ascii="Times New Roman" w:hAnsi="Times New Roman" w:cs="Times New Roman"/>
                <w:b w:val="0"/>
                <w:lang w:val="en-GB"/>
              </w:rPr>
              <w:t xml:space="preserve">,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 xml:space="preserve">лабораторије, просторије за одмор радника, просторије за пресвлачење и санитарне просторије, складиште за средства за чишћење, прање и дезинфекцију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Изградња објеката за прераду млечних прерађевина, третман отпадних вода, управљање отпадом и превенцију загађења ваздуха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Изградња постројења за производњу енергије из обновљивих извора са максималним капацитетом годишње потрошње енергије пољопривредног предузећа/газдинства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(соларне енергије, ветротурбина, постројења на биомасу), укључујући повезивање електрана на дистрибутивну мрежу/ од постројења до објекта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Изградња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унутрашње путне мреже и паркинг места у оквиру простора у власништву пољопривредног предузећа/</w:t>
            </w:r>
            <w:r w:rsidRPr="00673EE4">
              <w:rPr>
                <w:rStyle w:val="hps"/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 xml:space="preserve">газдинства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pStyle w:val="ListParagraph"/>
              <w:numPr>
                <w:ilvl w:val="2"/>
                <w:numId w:val="2"/>
              </w:numPr>
              <w:tabs>
                <w:tab w:val="left" w:pos="900"/>
              </w:tabs>
              <w:jc w:val="center"/>
              <w:rPr>
                <w:rFonts w:ascii="Times New Roman" w:eastAsia="MS Mincho" w:hAnsi="Times New Roman" w:cs="Times New Roman"/>
                <w:bCs w:val="0"/>
                <w:iCs/>
                <w:sz w:val="24"/>
                <w:szCs w:val="24"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Опрема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Опрема за пријем, утовар и складиштење (хлађење) млека (сабирни центри) до фазе испоруке са одговарајућим уређајима за мерење температуре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Специјализована возила за транспорт сировог млека са одговарајућом опремом (мерни инструменти и уређаји за узорковање)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Опрема за пријем, узорковање, утовар, прераду, термичку обраду, одлежавање/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sr-Cyrl-RS" w:eastAsia="ja-JP"/>
              </w:rPr>
              <w:t xml:space="preserve">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врење, пуњење, мерење, паковање и обележавање млека и млечних прерађевина 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Опрема за испитивање квалитета млека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Опрема за чишћење, прање и дезинфекцију (стерилизацију) објеката, опреме, алата, апарата и машина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en-GB" w:eastAsia="ja-JP"/>
              </w:rPr>
              <w:t xml:space="preserve">,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просторија за пресвлачење одеће и санитарних објеката (укључујући мерне уређаје)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Опрема за држање и складиштење млека и млечних прерађевина (полице, виљушкари, транспортери, елеватори итд.)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val="sr-Cyrl-RS" w:eastAsia="ja-JP"/>
              </w:rPr>
              <w:t>Ит</w:t>
            </w:r>
            <w:r w:rsidRPr="00673EE4">
              <w:rPr>
                <w:rFonts w:ascii="Times New Roman" w:eastAsia="MS Mincho" w:hAnsi="Times New Roman" w:cs="Times New Roman"/>
                <w:b w:val="0"/>
                <w:i/>
                <w:iCs/>
                <w:lang w:val="sr-Cyrl-RS" w:eastAsia="ja-JP"/>
              </w:rPr>
              <w:t xml:space="preserve">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хардвер и софтвер за регистар млека и праћење, контролу и управљање процесима производње и складиштења (са инсталацијом)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Лабораторијска опрема (искључујући стакларију) за унутрашњу употребу – део производног објекта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Опрема за одлагањеи транспорт примарног, секундарног и терцијарног материјала за паковање отпада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Опрема за прераду млечних прерађевина и отпада, третман отпадних вода и управљање отпадом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lastRenderedPageBreak/>
              <w:t xml:space="preserve">Опрема за припрему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en-GB" w:eastAsia="ja-JP"/>
              </w:rPr>
              <w:t>(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укључујући хемијску припрему)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en-GB" w:eastAsia="ja-JP"/>
              </w:rPr>
              <w:t xml:space="preserve">,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акумулацију и дистрибуцију воде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en-GB" w:eastAsia="ja-JP"/>
              </w:rPr>
              <w:t xml:space="preserve">,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укључујући топлу и хладну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en-GB" w:eastAsia="ja-JP"/>
              </w:rPr>
              <w:t xml:space="preserve"> (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лед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en-GB" w:eastAsia="ja-JP"/>
              </w:rPr>
              <w:t xml:space="preserve">)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воду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Опрема за обезбеђење посебних микроклиматских услова у производњи и/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val="sr-Cyrl-RS" w:eastAsia="ja-JP"/>
              </w:rPr>
              <w:t xml:space="preserve"> </w:t>
            </w: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или складишним објектима (укључујући опрему за климатизацију просторија – вентилација, хлађење/грејање, сушење/влажење ваздуха)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>Опрема за прање и хигијенско сушење руку током рада и санитарне просторије (укључујући тушеве), опрема за просторије за гардеробу, опрема за чишћење, уређаји за прање и дезинфекцију одеће и обуће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Опрема за физички, хемијски и биолошки третман отпадних вода и управљање отпадом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Инвестиције у технологије које доприносе штедњи енергије и заштити животне средине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Опрема за превенцију загађења ваздуха и обнављање растварача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</w:tcPr>
          <w:p w:rsidR="007D5789" w:rsidRPr="00673EE4" w:rsidRDefault="007D5789" w:rsidP="007D5789">
            <w:pPr>
              <w:numPr>
                <w:ilvl w:val="3"/>
                <w:numId w:val="3"/>
              </w:numPr>
              <w:tabs>
                <w:tab w:val="left" w:pos="900"/>
              </w:tabs>
              <w:jc w:val="both"/>
              <w:rPr>
                <w:rFonts w:ascii="Times New Roman" w:eastAsia="MS Mincho" w:hAnsi="Times New Roman" w:cs="Times New Roman"/>
                <w:b w:val="0"/>
                <w:bCs w:val="0"/>
                <w:iCs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Инвестиције у опремање постројења за производњу енергије из обновљивих извора за сопствену потрошњу: посебно у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соларну енергију, постројењана биомасу, котлове за сагоревање биомасе</w:t>
            </w:r>
          </w:p>
        </w:tc>
      </w:tr>
    </w:tbl>
    <w:p w:rsidR="007D5789" w:rsidRPr="00673EE4" w:rsidRDefault="007D5789" w:rsidP="007D5789">
      <w:pPr>
        <w:spacing w:line="240" w:lineRule="auto"/>
      </w:pPr>
    </w:p>
    <w:tbl>
      <w:tblPr>
        <w:tblStyle w:val="LightGrid-Accent2"/>
        <w:tblW w:w="9214" w:type="dxa"/>
        <w:tblLook w:val="00A0" w:firstRow="1" w:lastRow="0" w:firstColumn="1" w:lastColumn="0" w:noHBand="0" w:noVBand="0"/>
      </w:tblPr>
      <w:tblGrid>
        <w:gridCol w:w="9214"/>
      </w:tblGrid>
      <w:tr w:rsidR="007D5789" w:rsidRPr="00673EE4" w:rsidTr="00FA0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E60421">
            <w:pPr>
              <w:jc w:val="center"/>
              <w:rPr>
                <w:rFonts w:ascii="Times New Roman" w:eastAsia="MS Mincho" w:hAnsi="Times New Roman"/>
                <w:bCs w:val="0"/>
                <w:iCs/>
                <w:lang w:eastAsia="ja-JP"/>
              </w:rPr>
            </w:pPr>
            <w:r w:rsidRPr="00673EE4">
              <w:rPr>
                <w:rFonts w:ascii="Times New Roman" w:eastAsia="MS Mincho" w:hAnsi="Times New Roman"/>
                <w:iCs/>
                <w:lang w:eastAsia="ja-JP"/>
              </w:rPr>
              <w:t>3.2. СЕКТОР МЕСА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2"/>
                <w:numId w:val="4"/>
              </w:numPr>
              <w:tabs>
                <w:tab w:val="left" w:pos="900"/>
              </w:tabs>
              <w:jc w:val="center"/>
              <w:rPr>
                <w:rFonts w:ascii="Times New Roman" w:eastAsia="MS Mincho" w:hAnsi="Times New Roman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lang w:eastAsia="ja-JP"/>
              </w:rPr>
              <w:t>Изградња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Изградња</w:t>
            </w:r>
            <w:r w:rsidRPr="00673EE4">
              <w:rPr>
                <w:rFonts w:ascii="Times New Roman" w:hAnsi="Times New Roman"/>
                <w:b w:val="0"/>
                <w:lang w:val="sr-Cyrl-RS"/>
              </w:rPr>
              <w:t xml:space="preserve"> </w:t>
            </w:r>
            <w:r w:rsidRPr="00673EE4">
              <w:rPr>
                <w:rFonts w:ascii="Times New Roman" w:hAnsi="Times New Roman"/>
                <w:b w:val="0"/>
              </w:rPr>
              <w:t xml:space="preserve">кланица и објеката за прераду меса, пријем и привремени смештај животиња за клање; смештај болесних животиња или животиња за које се сумња да су заражене; просторије за обуздавање и клање животиња; објекти за производни процес; објекти (постројења) за хлађење меса; објекти за сечење и паковање меса; објекти за паковање изнутрица; објекти за отпремање меса; објекти који се користе искључиво за клање болесних или </w:t>
            </w:r>
            <w:r w:rsidRPr="00673EE4">
              <w:rPr>
                <w:rFonts w:ascii="Times New Roman" w:hAnsi="Times New Roman"/>
                <w:b w:val="0"/>
                <w:color w:val="000000"/>
              </w:rPr>
              <w:t xml:space="preserve">животиња за које се сумња да су болесне; објекти за складиштење стајњака или садржаја дигестивног тракта; објекти за одвојено склдиштење упакованог и неупакованог меса; хладњаче; објекти за складиштење нуспроизвода животињског порекла који нису намењени за људску употребу; постројења за инсталацију вентилације, климатизације, хлађења и грејања; споредна енергетска </w:t>
            </w:r>
            <w:r w:rsidRPr="00673EE4">
              <w:rPr>
                <w:rFonts w:ascii="Times New Roman" w:hAnsi="Times New Roman"/>
                <w:b w:val="0"/>
              </w:rPr>
              <w:t>постројења</w:t>
            </w:r>
            <w:r w:rsidRPr="00673EE4">
              <w:rPr>
                <w:rFonts w:ascii="Times New Roman" w:hAnsi="Times New Roman"/>
                <w:b w:val="0"/>
                <w:color w:val="000000"/>
              </w:rPr>
              <w:t>; изградња и/или реконструкција система за водоснабдевање (укључујући бунаре), снабдевање гасом, струјом (укључујући генераторе) и канализациони систем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>Изградња објеката/</w:t>
            </w:r>
            <w:r w:rsidRPr="00673EE4">
              <w:rPr>
                <w:rFonts w:ascii="Times New Roman" w:hAnsi="Times New Roman"/>
                <w:b w:val="0"/>
                <w:lang w:val="sr-Cyrl-RS"/>
              </w:rPr>
              <w:t xml:space="preserve"> </w:t>
            </w:r>
            <w:r w:rsidRPr="00673EE4">
              <w:rPr>
                <w:rFonts w:ascii="Times New Roman" w:hAnsi="Times New Roman"/>
                <w:b w:val="0"/>
              </w:rPr>
              <w:t>просторија за производњу прерађевина од меса; просторије/</w:t>
            </w:r>
            <w:r w:rsidRPr="00673EE4">
              <w:rPr>
                <w:rFonts w:ascii="Times New Roman" w:hAnsi="Times New Roman"/>
                <w:b w:val="0"/>
                <w:lang w:val="sr-Cyrl-RS"/>
              </w:rPr>
              <w:t xml:space="preserve"> </w:t>
            </w:r>
            <w:r w:rsidRPr="00673EE4">
              <w:rPr>
                <w:rFonts w:ascii="Times New Roman" w:hAnsi="Times New Roman"/>
                <w:b w:val="0"/>
              </w:rPr>
              <w:t>објекти за пријем, складиштење и/</w:t>
            </w:r>
            <w:r w:rsidRPr="00673EE4">
              <w:rPr>
                <w:rFonts w:ascii="Times New Roman" w:hAnsi="Times New Roman"/>
                <w:b w:val="0"/>
                <w:lang w:val="sr-Cyrl-RS"/>
              </w:rPr>
              <w:t xml:space="preserve"> </w:t>
            </w:r>
            <w:r w:rsidRPr="00673EE4">
              <w:rPr>
                <w:rFonts w:ascii="Times New Roman" w:hAnsi="Times New Roman"/>
                <w:b w:val="0"/>
              </w:rPr>
              <w:t xml:space="preserve">или сечење меса; производни објекти, укључујући просторије са посебним микроклиматским условима за производњу; објекти за паковање; објекти за чување готових производа; објекти за чување зачина и других адитива који се користе у производњи; објекти за складиштење амбалаже; објекти за одвојено складиштење прибора, опреме и посуда за чишћење, прање и дезинфекцију; објекти за одвојено сакупљање и складиштење нуспроизвода животињског порекла који нису за људску употребу; </w:t>
            </w:r>
            <w:r w:rsidRPr="00673EE4">
              <w:rPr>
                <w:rFonts w:ascii="Times New Roman" w:hAnsi="Times New Roman"/>
                <w:b w:val="0"/>
                <w:color w:val="000000"/>
              </w:rPr>
              <w:t xml:space="preserve">постројења за инсталацију вентилације, климатизације, хлађења и грејања; споредна енергетска </w:t>
            </w:r>
            <w:r w:rsidRPr="00673EE4">
              <w:rPr>
                <w:rFonts w:ascii="Times New Roman" w:hAnsi="Times New Roman"/>
                <w:b w:val="0"/>
              </w:rPr>
              <w:t>постројења;</w:t>
            </w:r>
            <w:r w:rsidRPr="00673EE4">
              <w:rPr>
                <w:rFonts w:ascii="Times New Roman" w:hAnsi="Times New Roman"/>
                <w:b w:val="0"/>
                <w:color w:val="000000"/>
              </w:rPr>
              <w:t xml:space="preserve"> изградња и/или реконструкција система за водоснабдевање (укључујући бунаре), снабдевање гасом, струјом (укључујући генераторе) и канализациони систем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t xml:space="preserve">Изградња за складиштење готових производа животињског порекла у условима контролисане температуре и/или паковање и препакивање производа животињског порекла; објекти за пријем и складиштење хране; објекти за складиштење посуда за паковање; објекти за одвојено складиштење прибора, опреме и посуда за чишћење, прање и дезинфекцију; објекти за одвојено сакупљање и складиштење нуспроизвода </w:t>
            </w:r>
            <w:r w:rsidRPr="00673EE4">
              <w:rPr>
                <w:rFonts w:ascii="Times New Roman" w:hAnsi="Times New Roman"/>
                <w:b w:val="0"/>
              </w:rPr>
              <w:lastRenderedPageBreak/>
              <w:t xml:space="preserve">животињског порекла који нису за људску употребу; објекти за отпремање робе; </w:t>
            </w:r>
            <w:r w:rsidRPr="00673EE4">
              <w:rPr>
                <w:rFonts w:ascii="Times New Roman" w:hAnsi="Times New Roman"/>
                <w:b w:val="0"/>
                <w:color w:val="000000"/>
              </w:rPr>
              <w:t xml:space="preserve">постројења за инсталацију вентилације, климатизације, хлађења и грејања; споредна енергетска </w:t>
            </w:r>
            <w:r w:rsidRPr="00673EE4">
              <w:rPr>
                <w:rFonts w:ascii="Times New Roman" w:hAnsi="Times New Roman"/>
                <w:b w:val="0"/>
              </w:rPr>
              <w:t>постројења</w:t>
            </w:r>
            <w:r w:rsidRPr="00673EE4">
              <w:rPr>
                <w:rFonts w:ascii="Times New Roman" w:hAnsi="Times New Roman"/>
                <w:b w:val="0"/>
                <w:color w:val="000000"/>
              </w:rPr>
              <w:t>; изградња и/</w:t>
            </w:r>
            <w:r w:rsidRPr="00673EE4">
              <w:rPr>
                <w:rFonts w:ascii="Times New Roman" w:hAnsi="Times New Roman"/>
                <w:b w:val="0"/>
                <w:color w:val="000000"/>
                <w:lang w:val="sr-Cyrl-RS"/>
              </w:rPr>
              <w:t xml:space="preserve"> или</w:t>
            </w:r>
            <w:r w:rsidRPr="00673EE4">
              <w:rPr>
                <w:rFonts w:ascii="Times New Roman" w:hAnsi="Times New Roman"/>
                <w:b w:val="0"/>
                <w:color w:val="000000"/>
              </w:rPr>
              <w:t xml:space="preserve"> реконструкција система за водоснабдевање (укључујући бунаре), снабдевање гасом, струјом (укључујући генераторе) и канализациони систем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  <w:b w:val="0"/>
                <w:lang w:val="en-GB"/>
              </w:rPr>
            </w:pPr>
            <w:r w:rsidRPr="00673EE4">
              <w:rPr>
                <w:rFonts w:ascii="Times New Roman" w:hAnsi="Times New Roman"/>
                <w:b w:val="0"/>
              </w:rPr>
              <w:lastRenderedPageBreak/>
              <w:t xml:space="preserve">Изградња простора са одговарајућом опремом за чишћење, прање и дезинфекцију возила за превоз животиња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Изградња</w:t>
            </w:r>
            <w:r w:rsidRPr="00673EE4">
              <w:rPr>
                <w:rStyle w:val="hps"/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управне зграде са пратећим објектима</w:t>
            </w:r>
            <w:r w:rsidRPr="00673EE4">
              <w:rPr>
                <w:rStyle w:val="hps"/>
                <w:rFonts w:ascii="Times New Roman" w:hAnsi="Times New Roman" w:cs="Times New Roman"/>
                <w:b w:val="0"/>
                <w:lang w:val="en-GB"/>
              </w:rPr>
              <w:t xml:space="preserve"> (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канцеларије за лиценциране ветеринаре и ветеринарске инспекторе</w:t>
            </w:r>
            <w:r w:rsidRPr="00673EE4">
              <w:rPr>
                <w:rStyle w:val="hps"/>
                <w:rFonts w:ascii="Times New Roman" w:hAnsi="Times New Roman" w:cs="Times New Roman"/>
                <w:b w:val="0"/>
                <w:lang w:val="en-GB"/>
              </w:rPr>
              <w:t xml:space="preserve">,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 xml:space="preserve">лабораторије, просторије за одмор радника, просторије за пресвлачење и санитарне просторије, складиште за средства за чишћење, прање и дезинфекцију) 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Изградња</w:t>
            </w:r>
            <w:r w:rsidRPr="00673EE4">
              <w:rPr>
                <w:rStyle w:val="hps"/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 xml:space="preserve">објеката за третман отпадних вода, управљање отпадом и превенција загађења ваздуха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 xml:space="preserve">Изградња мреже унутрашњих путева и паркинг места унутар имања (простора) у власништву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>Изградња покривеног простора за истовар животиња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Изградња објеката за чишћење, прање и дезинфекцију возила за превоз животиња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  <w:lang w:val="en-GB"/>
              </w:rPr>
              <w:t>Изградња објеката за третман отпадних вода, управљање отпадом и превенција загађења ваздуха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Изградња постројења за прозводњу енергије из обновљивих извора са максималним капацитетом годишње потрошње енергије у оквиру пољопривредног предузећа/газдинства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(соларне енергије, ветротурбина, постројењана биомасу), укључујући повезивање електрана на дистрибутивну мрежу / од постројења до објекта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2"/>
                <w:numId w:val="4"/>
              </w:numPr>
              <w:tabs>
                <w:tab w:val="left" w:pos="990"/>
              </w:tabs>
              <w:jc w:val="center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  <w:t>Опрема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>Опрема за истовар животиња и истоварне рампе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Опрема за пријем, привремени смештај, храњење и појење животиња у простору за чекање, чишћење, прање и дезинфекција простора за чекање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Опрема за превоз животиња унутар кланице (у случају повређених или болесних животиња)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Опрема за усмеравање животиња током кретања у кланици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Опрема за обуздавање, омамљивање и клање животиња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>Опрема за пријем сировина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>Систем (делови, опрема) за транспорт трупова и делова трупа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>Опрема за сечење трупова након искрварења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>Уређаји за мерење удела мишићног ткива у трупу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сакупљање, пријем, складиштење (хладњача), уклањање и прераду нуспроизвода животињског порекла који нису намењени људској употреби и кланичног отпада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центре за сакупљање животињског отпада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прераду и паковање изнутрица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пражњење и чишћење желудаца, бешика и црева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сечење, прераду, паковање и обележавање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Уређаји за хлађење живинских трупова (хлађење ваздушном струјом или „чилерима”)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Опрема за прераду и складиштење масти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хлађење и/или замрзавање сировина и готових производа,  укључујући и уређаје за мерење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lastRenderedPageBreak/>
              <w:t xml:space="preserve"> Опрема за производњу млевеног меса, полупрерађених производа од меса, механички одвојеног меса и готових месних прерађевина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пријем, руковање, чување и отпрему готових производа, са одговарајућим уређајима за мерење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чишћење, прање и дезинфекцију возила и кавеза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унутрашње ветеринарске контроле (као део објекта, интегрални део пројекта)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Лабораторијска опрема, искључујући стакларију (интегрални део пројекта)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праћење, мерење и управљање процесима производње и складиштења (са инсталацијом)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чишћење, прање и </w:t>
            </w:r>
            <w:r w:rsidRPr="00673EE4">
              <w:rPr>
                <w:rFonts w:ascii="Times New Roman" w:hAnsi="Times New Roman" w:cs="Times New Roman"/>
                <w:b w:val="0"/>
                <w:shd w:val="clear" w:color="auto" w:fill="FFFFFF" w:themeFill="background1"/>
              </w:rPr>
              <w:t>дезинфекцију</w:t>
            </w:r>
            <w:r w:rsidRPr="00673EE4">
              <w:rPr>
                <w:rFonts w:ascii="Times New Roman" w:hAnsi="Times New Roman" w:cs="Times New Roman"/>
                <w:b w:val="0"/>
              </w:rPr>
              <w:t xml:space="preserve"> (стерилизацију) објеката, опреме, алата, апарата и машина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детекцију метала и/или других физичких ризика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обезбеђивање посебних микроклиматских услова у производним и/или складишним просторима (укључујући опрему за климатизацију простора – хлађење/грејање, исушивање/овлаживање ваздуха)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прање и хигијенско сушење руку у оперативним објектима и санитарним просторијама (укључујући тушеве), опрема за просторије за смештај гардеробе, опрема за чишћење, прање и дезинфекцију одеће и обуће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физички, хемијски и биолошки третман отпадних вода, управљање отпадом и превенцију загађења ваздуха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превенцију загађења ваздуха и обнављање растварача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 xml:space="preserve"> Инвестиције у опремање постројења за обновљиву енергију за сопствене потребе: посебно у соларну енергију,постројења на биомасу, котлове за сагоревање биомасе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numPr>
                <w:ilvl w:val="3"/>
                <w:numId w:val="4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руковање, утовар, истовар и унутрашњи превоз сировина и производа </w:t>
            </w:r>
          </w:p>
        </w:tc>
      </w:tr>
    </w:tbl>
    <w:p w:rsidR="007D5789" w:rsidRPr="00673EE4" w:rsidRDefault="007D5789" w:rsidP="007D5789">
      <w:pPr>
        <w:spacing w:line="240" w:lineRule="auto"/>
        <w:jc w:val="center"/>
      </w:pPr>
    </w:p>
    <w:tbl>
      <w:tblPr>
        <w:tblStyle w:val="LightGrid-Accent2"/>
        <w:tblW w:w="9214" w:type="dxa"/>
        <w:tblLook w:val="00A0" w:firstRow="1" w:lastRow="0" w:firstColumn="1" w:lastColumn="0" w:noHBand="0" w:noVBand="0"/>
      </w:tblPr>
      <w:tblGrid>
        <w:gridCol w:w="9214"/>
      </w:tblGrid>
      <w:tr w:rsidR="007D5789" w:rsidRPr="00673EE4" w:rsidTr="00FA0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E60421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iCs/>
                <w:sz w:val="24"/>
                <w:szCs w:val="24"/>
                <w:lang w:eastAsia="ja-JP"/>
              </w:rPr>
              <w:t>3.3. СЕКТОР ВОЋА И ПОВРЋА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2"/>
                <w:numId w:val="5"/>
              </w:numPr>
              <w:tabs>
                <w:tab w:val="left" w:pos="990"/>
              </w:tabs>
              <w:jc w:val="center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 w:rsidRPr="00673EE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Изградња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>Изградња објеката за прераду (објекти за складиштење сировина, прање/чишћење, сортирање, прераду, конзервирање, сушење, замрзавање анализу готових производа итд.) за воће, поврће; објеката за складиштење амбалаже, адитива и готових производа, објеката за прање и чишћење, потројења за инсталацију вентилације, климатизације, грејања и превенцију загађења ваздуха, споредни енергетски објекти;</w:t>
            </w:r>
            <w:r w:rsidRPr="00673EE4">
              <w:rPr>
                <w:rFonts w:ascii="Times New Roman" w:hAnsi="Times New Roman" w:cs="Times New Roman"/>
                <w:b w:val="0"/>
                <w:color w:val="000000"/>
              </w:rPr>
              <w:t xml:space="preserve"> изградња и/или реконструкција система за водоснабдевање (укључујући бунаре), снабдевање гасом, струјом (укључујући генераторе) и канализациони систем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Изградња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управне зграде са пратећим објектима</w:t>
            </w:r>
            <w:r w:rsidRPr="00673EE4">
              <w:rPr>
                <w:rStyle w:val="hps"/>
                <w:rFonts w:ascii="Times New Roman" w:hAnsi="Times New Roman" w:cs="Times New Roman"/>
                <w:b w:val="0"/>
                <w:lang w:val="en-GB"/>
              </w:rPr>
              <w:t xml:space="preserve"> (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канцеларије</w:t>
            </w:r>
            <w:r w:rsidRPr="00673EE4">
              <w:rPr>
                <w:rStyle w:val="hps"/>
                <w:rFonts w:ascii="Times New Roman" w:hAnsi="Times New Roman" w:cs="Times New Roman"/>
                <w:b w:val="0"/>
                <w:lang w:val="en-GB"/>
              </w:rPr>
              <w:t xml:space="preserve">,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 xml:space="preserve">лабораторије, просторије за одмор радника, просторије за пресвлачење и санитарне просторије, складиште за средства за чишћење, прање и дезинфекцију) 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eastAsia="MS Mincho" w:hAnsi="Times New Roman" w:cs="Times New Roman"/>
                <w:b w:val="0"/>
                <w:iCs/>
                <w:lang w:eastAsia="ja-JP"/>
              </w:rPr>
              <w:t xml:space="preserve">Изградња објеката за прераду полупроизвода и третман отпадних вода, управљање отпадом и превенцију загађења ваздуха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Изградња постројења за прозводњу енергије из обновљивих извора са максималним капацитетом годишње потрошње енергије у оквиру пољопривредног предузећа/газдинства </w:t>
            </w: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>(соларне енергије, ветротурбина, постројења на биомасу), укључујући повезивање електрана на дистрибутивну мрежу/ од постројења до објекта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 xml:space="preserve">Изградња мреже унутрашњих путева и паркинг места унутар простора у власништву предузећа/газдинства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2"/>
                <w:numId w:val="5"/>
              </w:numPr>
              <w:tabs>
                <w:tab w:val="left" w:pos="990"/>
              </w:tabs>
              <w:jc w:val="center"/>
              <w:rPr>
                <w:rFonts w:ascii="Times New Roman" w:eastAsia="MS Mincho" w:hAnsi="Times New Roman" w:cs="Times New Roman"/>
                <w:lang w:val="en-GB" w:eastAsia="ja-JP"/>
              </w:rPr>
            </w:pPr>
            <w:r w:rsidRPr="00673EE4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Опрема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Опрема за сушење и/или прање, чишћење и сортирање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Опрема и уређаји за прераду, паковање, обележавање и привремено складиштење, укључујући линије за пуњење, машине за паковање, машине за обележавање и друга специјализована опрема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  <w:color w:val="000000" w:themeColor="text1"/>
              </w:rPr>
              <w:t>Опрема за термичку обраду (стерилизација/ пастеризација/ бланширање)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>Опрема и уређаји за хлађење и замрзавање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Опрема за вештачку вентилацију, климатизацију, хлађење и грејање објеката за прераду и складиштење 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Опрема за превоз воћа и поврћа (бокс палете, пластични контејнери итд.)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Уређаји за превоз у кругу објекта у складу са захтевима пројекта 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Опрема и уређаји за третман отпадних вода (физички, хемијски и биолошки третман), управљање отпадом и спречавање загађења ваздуха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>Опрема за превенцију загађења ваздуха и обнављање растварача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прање и хигијенско сушење руку у оперативним објектима и санитарним просторијама (укључујући тушеве), опрема за просторије за смештај гардеробе, опрема за чишћење, прање и дезинфекцију одеће и обуће 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пријем сировина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Лабораторијска опрема, искључујући стакларију (интегрални део пројекта)</w:t>
            </w:r>
          </w:p>
        </w:tc>
      </w:tr>
      <w:tr w:rsidR="007D5789" w:rsidRPr="00673EE4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детекцију метала и/или других физичких ризика</w:t>
            </w:r>
          </w:p>
        </w:tc>
      </w:tr>
      <w:tr w:rsidR="007D5789" w:rsidRPr="00673EE4" w:rsidTr="00FA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eastAsia="MS Mincho" w:hAnsi="Times New Roman" w:cs="Times New Roman"/>
                <w:b w:val="0"/>
                <w:lang w:val="en-GB" w:eastAsia="ja-JP"/>
              </w:rPr>
            </w:pPr>
            <w:r w:rsidRPr="00673EE4">
              <w:rPr>
                <w:rFonts w:ascii="Times New Roman" w:hAnsi="Times New Roman" w:cs="Times New Roman"/>
                <w:b w:val="0"/>
              </w:rPr>
              <w:t xml:space="preserve"> Опрема за складиштење сировина и готових производа, у складу са захтевима пројекта </w:t>
            </w:r>
          </w:p>
        </w:tc>
      </w:tr>
      <w:tr w:rsidR="007D5789" w:rsidRPr="003748D8" w:rsidTr="00FA0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7D5789" w:rsidRPr="00673EE4" w:rsidRDefault="007D5789" w:rsidP="007D5789">
            <w:pPr>
              <w:pStyle w:val="ListParagraph"/>
              <w:numPr>
                <w:ilvl w:val="3"/>
                <w:numId w:val="5"/>
              </w:numPr>
              <w:tabs>
                <w:tab w:val="left" w:pos="990"/>
              </w:tabs>
              <w:contextualSpacing w:val="0"/>
              <w:jc w:val="both"/>
              <w:rPr>
                <w:rFonts w:ascii="Times New Roman" w:hAnsi="Times New Roman" w:cs="Times New Roman"/>
                <w:b w:val="0"/>
                <w:lang w:val="en-GB"/>
              </w:rPr>
            </w:pPr>
            <w:r w:rsidRPr="00673EE4">
              <w:rPr>
                <w:rStyle w:val="hps"/>
                <w:rFonts w:ascii="Times New Roman" w:hAnsi="Times New Roman" w:cs="Times New Roman"/>
                <w:b w:val="0"/>
              </w:rPr>
              <w:t xml:space="preserve"> Инвестиције у опремање постројења за обновљиву енергију за сопствене потребе: посебно у соларну енергију, постројењана биомасу, котлове за сагоревање биомасе</w:t>
            </w:r>
          </w:p>
        </w:tc>
        <w:bookmarkStart w:id="2" w:name="_GoBack"/>
        <w:bookmarkEnd w:id="2"/>
      </w:tr>
    </w:tbl>
    <w:p w:rsidR="009C173E" w:rsidRDefault="00113FE5"/>
    <w:sectPr w:rsidR="009C173E" w:rsidSect="00C47BAB">
      <w:headerReference w:type="default" r:id="rId8"/>
      <w:footerReference w:type="default" r:id="rId9"/>
      <w:pgSz w:w="12240" w:h="15840"/>
      <w:pgMar w:top="1417" w:right="16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E5" w:rsidRDefault="00113FE5" w:rsidP="00C82DC6">
      <w:pPr>
        <w:spacing w:after="0" w:line="240" w:lineRule="auto"/>
      </w:pPr>
      <w:r>
        <w:separator/>
      </w:r>
    </w:p>
  </w:endnote>
  <w:endnote w:type="continuationSeparator" w:id="0">
    <w:p w:rsidR="00113FE5" w:rsidRDefault="00113FE5" w:rsidP="00C8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559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FFFFFF" w:themeColor="background1"/>
        <w:sz w:val="32"/>
        <w:szCs w:val="32"/>
      </w:rPr>
    </w:sdtEndPr>
    <w:sdtContent>
      <w:p w:rsidR="00C82DC6" w:rsidRPr="0001317D" w:rsidRDefault="00C82DC6">
        <w:pPr>
          <w:pStyle w:val="Footer"/>
          <w:jc w:val="center"/>
          <w:rPr>
            <w:rFonts w:ascii="Times New Roman" w:hAnsi="Times New Roman" w:cs="Times New Roman"/>
            <w:color w:val="FFFFFF" w:themeColor="background1"/>
            <w:sz w:val="32"/>
            <w:szCs w:val="32"/>
          </w:rPr>
        </w:pPr>
        <w:r w:rsidRPr="0001317D">
          <w:rPr>
            <w:rFonts w:ascii="Times New Roman" w:hAnsi="Times New Roman" w:cs="Times New Roman"/>
            <w:noProof/>
            <w:color w:val="FFFFFF" w:themeColor="background1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674647B" wp14:editId="2A3F8E10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-39370</wp:posOffset>
                  </wp:positionV>
                  <wp:extent cx="318770" cy="339725"/>
                  <wp:effectExtent l="0" t="0" r="5080" b="3175"/>
                  <wp:wrapNone/>
                  <wp:docPr id="1" name="Flowchart: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8770" cy="339725"/>
                          </a:xfrm>
                          <a:prstGeom prst="flowChartConnector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" o:spid="_x0000_s1026" type="#_x0000_t120" style="position:absolute;margin-left:217.95pt;margin-top:-3.1pt;width:25.1pt;height:2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" fillcolor="#cf6da4 [3208]" stroked="f" strokeweight="2pt"/>
              </w:pict>
            </mc:Fallback>
          </mc:AlternateContent>
        </w:r>
        <w:r w:rsidRPr="0001317D">
          <w:rPr>
            <w:rFonts w:ascii="Times New Roman" w:hAnsi="Times New Roman" w:cs="Times New Roman"/>
            <w:color w:val="FFFFFF" w:themeColor="background1"/>
            <w:sz w:val="32"/>
            <w:szCs w:val="32"/>
          </w:rPr>
          <w:fldChar w:fldCharType="begin"/>
        </w:r>
        <w:r w:rsidRPr="0001317D">
          <w:rPr>
            <w:rFonts w:ascii="Times New Roman" w:hAnsi="Times New Roman" w:cs="Times New Roman"/>
            <w:color w:val="FFFFFF" w:themeColor="background1"/>
            <w:sz w:val="32"/>
            <w:szCs w:val="32"/>
          </w:rPr>
          <w:instrText xml:space="preserve"> PAGE   \* MERGEFORMAT </w:instrText>
        </w:r>
        <w:r w:rsidRPr="0001317D">
          <w:rPr>
            <w:rFonts w:ascii="Times New Roman" w:hAnsi="Times New Roman" w:cs="Times New Roman"/>
            <w:color w:val="FFFFFF" w:themeColor="background1"/>
            <w:sz w:val="32"/>
            <w:szCs w:val="32"/>
          </w:rPr>
          <w:fldChar w:fldCharType="separate"/>
        </w:r>
        <w:r w:rsidR="00C076FD">
          <w:rPr>
            <w:rFonts w:ascii="Times New Roman" w:hAnsi="Times New Roman" w:cs="Times New Roman"/>
            <w:noProof/>
            <w:color w:val="FFFFFF" w:themeColor="background1"/>
            <w:sz w:val="32"/>
            <w:szCs w:val="32"/>
          </w:rPr>
          <w:t>1</w:t>
        </w:r>
        <w:r w:rsidRPr="0001317D">
          <w:rPr>
            <w:rFonts w:ascii="Times New Roman" w:hAnsi="Times New Roman" w:cs="Times New Roman"/>
            <w:noProof/>
            <w:color w:val="FFFFFF" w:themeColor="background1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E5" w:rsidRDefault="00113FE5" w:rsidP="00C82DC6">
      <w:pPr>
        <w:spacing w:after="0" w:line="240" w:lineRule="auto"/>
      </w:pPr>
      <w:r>
        <w:separator/>
      </w:r>
    </w:p>
  </w:footnote>
  <w:footnote w:type="continuationSeparator" w:id="0">
    <w:p w:rsidR="00113FE5" w:rsidRDefault="00113FE5" w:rsidP="00C8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7C" w:rsidRPr="00B13E7C" w:rsidRDefault="00B13E7C" w:rsidP="00B13E7C">
    <w:pPr>
      <w:pStyle w:val="Header"/>
      <w:jc w:val="right"/>
      <w:rPr>
        <w:rFonts w:ascii="Times New Roman" w:hAnsi="Times New Roman" w:cs="Times New Roman"/>
        <w:lang w:val="sr-Cyrl-RS"/>
      </w:rPr>
    </w:pPr>
    <w:r w:rsidRPr="00B13E7C">
      <w:rPr>
        <w:rFonts w:ascii="Times New Roman" w:hAnsi="Times New Roman" w:cs="Times New Roman"/>
        <w:lang w:val="sr-Cyrl-RS"/>
      </w:rPr>
      <w:t>Прилог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3E3"/>
    <w:multiLevelType w:val="multilevel"/>
    <w:tmpl w:val="09A0B0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0F03DD"/>
    <w:multiLevelType w:val="multilevel"/>
    <w:tmpl w:val="B3DECB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9640BE"/>
    <w:multiLevelType w:val="multilevel"/>
    <w:tmpl w:val="1D465BD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B9565E"/>
    <w:multiLevelType w:val="multilevel"/>
    <w:tmpl w:val="96860F8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C900BB"/>
    <w:multiLevelType w:val="multilevel"/>
    <w:tmpl w:val="FCF289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89"/>
    <w:rsid w:val="0001317D"/>
    <w:rsid w:val="00044E78"/>
    <w:rsid w:val="00113FE5"/>
    <w:rsid w:val="00393B39"/>
    <w:rsid w:val="00453077"/>
    <w:rsid w:val="005C2EDC"/>
    <w:rsid w:val="00673EE4"/>
    <w:rsid w:val="00712F1D"/>
    <w:rsid w:val="007D5789"/>
    <w:rsid w:val="008904EF"/>
    <w:rsid w:val="00AB3C39"/>
    <w:rsid w:val="00B13E7C"/>
    <w:rsid w:val="00C076FD"/>
    <w:rsid w:val="00C47BAB"/>
    <w:rsid w:val="00C82DC6"/>
    <w:rsid w:val="00C873F6"/>
    <w:rsid w:val="00D8375B"/>
    <w:rsid w:val="00EC1800"/>
    <w:rsid w:val="00FA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8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5789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7D57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D5789"/>
    <w:rPr>
      <w:rFonts w:eastAsiaTheme="minorEastAsia"/>
    </w:rPr>
  </w:style>
  <w:style w:type="table" w:styleId="LightGrid-Accent3">
    <w:name w:val="Light Grid Accent 3"/>
    <w:basedOn w:val="TableNormal"/>
    <w:uiPriority w:val="62"/>
    <w:rsid w:val="007D5789"/>
    <w:pPr>
      <w:spacing w:after="0" w:line="240" w:lineRule="auto"/>
    </w:pPr>
    <w:tblPr>
      <w:tblStyleRowBandSize w:val="1"/>
      <w:tblStyleColBandSize w:val="1"/>
      <w:tblBorders>
        <w:top w:val="single" w:sz="8" w:space="0" w:color="DE6C36" w:themeColor="accent3"/>
        <w:left w:val="single" w:sz="8" w:space="0" w:color="DE6C36" w:themeColor="accent3"/>
        <w:bottom w:val="single" w:sz="8" w:space="0" w:color="DE6C36" w:themeColor="accent3"/>
        <w:right w:val="single" w:sz="8" w:space="0" w:color="DE6C36" w:themeColor="accent3"/>
        <w:insideH w:val="single" w:sz="8" w:space="0" w:color="DE6C36" w:themeColor="accent3"/>
        <w:insideV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18" w:space="0" w:color="DE6C36" w:themeColor="accent3"/>
          <w:right w:val="single" w:sz="8" w:space="0" w:color="DE6C36" w:themeColor="accent3"/>
          <w:insideH w:val="nil"/>
          <w:insideV w:val="single" w:sz="8" w:space="0" w:color="DE6C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  <w:insideH w:val="nil"/>
          <w:insideV w:val="single" w:sz="8" w:space="0" w:color="DE6C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band1Vert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  <w:shd w:val="clear" w:color="auto" w:fill="F6DACD" w:themeFill="accent3" w:themeFillTint="3F"/>
      </w:tcPr>
    </w:tblStylePr>
    <w:tblStylePr w:type="band1Horz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  <w:insideV w:val="single" w:sz="8" w:space="0" w:color="DE6C36" w:themeColor="accent3"/>
        </w:tcBorders>
        <w:shd w:val="clear" w:color="auto" w:fill="F6DACD" w:themeFill="accent3" w:themeFillTint="3F"/>
      </w:tcPr>
    </w:tblStylePr>
    <w:tblStylePr w:type="band2Horz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  <w:insideV w:val="single" w:sz="8" w:space="0" w:color="DE6C36" w:themeColor="accent3"/>
        </w:tcBorders>
      </w:tcPr>
    </w:tblStylePr>
  </w:style>
  <w:style w:type="character" w:customStyle="1" w:styleId="hps">
    <w:name w:val="hps"/>
    <w:basedOn w:val="DefaultParagraphFont"/>
    <w:rsid w:val="007D5789"/>
  </w:style>
  <w:style w:type="paragraph" w:styleId="NoSpacing">
    <w:name w:val="No Spacing"/>
    <w:link w:val="NoSpacingChar"/>
    <w:uiPriority w:val="1"/>
    <w:qFormat/>
    <w:rsid w:val="007D57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5789"/>
    <w:rPr>
      <w:rFonts w:eastAsiaTheme="minorEastAsia"/>
    </w:rPr>
  </w:style>
  <w:style w:type="paragraph" w:customStyle="1" w:styleId="Char">
    <w:name w:val="Char"/>
    <w:basedOn w:val="Normal"/>
    <w:rsid w:val="007D578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5789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A062A"/>
    <w:pPr>
      <w:spacing w:after="0" w:line="240" w:lineRule="auto"/>
    </w:pPr>
    <w:tblPr>
      <w:tblStyleRowBandSize w:val="1"/>
      <w:tblStyleColBandSize w:val="1"/>
      <w:tblBorders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  <w:insideH w:val="single" w:sz="8" w:space="0" w:color="AC66BB" w:themeColor="accent2"/>
        <w:insideV w:val="single" w:sz="8" w:space="0" w:color="AC66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18" w:space="0" w:color="AC66BB" w:themeColor="accent2"/>
          <w:right w:val="single" w:sz="8" w:space="0" w:color="AC66BB" w:themeColor="accent2"/>
          <w:insideH w:val="nil"/>
          <w:insideV w:val="single" w:sz="8" w:space="0" w:color="AC66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  <w:insideH w:val="nil"/>
          <w:insideV w:val="single" w:sz="8" w:space="0" w:color="AC66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band1Vert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  <w:shd w:val="clear" w:color="auto" w:fill="EAD9EE" w:themeFill="accent2" w:themeFillTint="3F"/>
      </w:tcPr>
    </w:tblStylePr>
    <w:tblStylePr w:type="band1Horz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  <w:insideV w:val="single" w:sz="8" w:space="0" w:color="AC66BB" w:themeColor="accent2"/>
        </w:tcBorders>
        <w:shd w:val="clear" w:color="auto" w:fill="EAD9EE" w:themeFill="accent2" w:themeFillTint="3F"/>
      </w:tcPr>
    </w:tblStylePr>
    <w:tblStylePr w:type="band2Horz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  <w:insideV w:val="single" w:sz="8" w:space="0" w:color="AC66BB" w:themeColor="accent2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062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2D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2D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C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8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5789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7D57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D5789"/>
    <w:rPr>
      <w:rFonts w:eastAsiaTheme="minorEastAsia"/>
    </w:rPr>
  </w:style>
  <w:style w:type="table" w:styleId="LightGrid-Accent3">
    <w:name w:val="Light Grid Accent 3"/>
    <w:basedOn w:val="TableNormal"/>
    <w:uiPriority w:val="62"/>
    <w:rsid w:val="007D5789"/>
    <w:pPr>
      <w:spacing w:after="0" w:line="240" w:lineRule="auto"/>
    </w:pPr>
    <w:tblPr>
      <w:tblStyleRowBandSize w:val="1"/>
      <w:tblStyleColBandSize w:val="1"/>
      <w:tblBorders>
        <w:top w:val="single" w:sz="8" w:space="0" w:color="DE6C36" w:themeColor="accent3"/>
        <w:left w:val="single" w:sz="8" w:space="0" w:color="DE6C36" w:themeColor="accent3"/>
        <w:bottom w:val="single" w:sz="8" w:space="0" w:color="DE6C36" w:themeColor="accent3"/>
        <w:right w:val="single" w:sz="8" w:space="0" w:color="DE6C36" w:themeColor="accent3"/>
        <w:insideH w:val="single" w:sz="8" w:space="0" w:color="DE6C36" w:themeColor="accent3"/>
        <w:insideV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18" w:space="0" w:color="DE6C36" w:themeColor="accent3"/>
          <w:right w:val="single" w:sz="8" w:space="0" w:color="DE6C36" w:themeColor="accent3"/>
          <w:insideH w:val="nil"/>
          <w:insideV w:val="single" w:sz="8" w:space="0" w:color="DE6C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  <w:insideH w:val="nil"/>
          <w:insideV w:val="single" w:sz="8" w:space="0" w:color="DE6C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band1Vert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  <w:shd w:val="clear" w:color="auto" w:fill="F6DACD" w:themeFill="accent3" w:themeFillTint="3F"/>
      </w:tcPr>
    </w:tblStylePr>
    <w:tblStylePr w:type="band1Horz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  <w:insideV w:val="single" w:sz="8" w:space="0" w:color="DE6C36" w:themeColor="accent3"/>
        </w:tcBorders>
        <w:shd w:val="clear" w:color="auto" w:fill="F6DACD" w:themeFill="accent3" w:themeFillTint="3F"/>
      </w:tcPr>
    </w:tblStylePr>
    <w:tblStylePr w:type="band2Horz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  <w:insideV w:val="single" w:sz="8" w:space="0" w:color="DE6C36" w:themeColor="accent3"/>
        </w:tcBorders>
      </w:tcPr>
    </w:tblStylePr>
  </w:style>
  <w:style w:type="character" w:customStyle="1" w:styleId="hps">
    <w:name w:val="hps"/>
    <w:basedOn w:val="DefaultParagraphFont"/>
    <w:rsid w:val="007D5789"/>
  </w:style>
  <w:style w:type="paragraph" w:styleId="NoSpacing">
    <w:name w:val="No Spacing"/>
    <w:link w:val="NoSpacingChar"/>
    <w:uiPriority w:val="1"/>
    <w:qFormat/>
    <w:rsid w:val="007D57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5789"/>
    <w:rPr>
      <w:rFonts w:eastAsiaTheme="minorEastAsia"/>
    </w:rPr>
  </w:style>
  <w:style w:type="paragraph" w:customStyle="1" w:styleId="Char">
    <w:name w:val="Char"/>
    <w:basedOn w:val="Normal"/>
    <w:rsid w:val="007D578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5789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A062A"/>
    <w:pPr>
      <w:spacing w:after="0" w:line="240" w:lineRule="auto"/>
    </w:pPr>
    <w:tblPr>
      <w:tblStyleRowBandSize w:val="1"/>
      <w:tblStyleColBandSize w:val="1"/>
      <w:tblBorders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  <w:insideH w:val="single" w:sz="8" w:space="0" w:color="AC66BB" w:themeColor="accent2"/>
        <w:insideV w:val="single" w:sz="8" w:space="0" w:color="AC66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18" w:space="0" w:color="AC66BB" w:themeColor="accent2"/>
          <w:right w:val="single" w:sz="8" w:space="0" w:color="AC66BB" w:themeColor="accent2"/>
          <w:insideH w:val="nil"/>
          <w:insideV w:val="single" w:sz="8" w:space="0" w:color="AC66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  <w:insideH w:val="nil"/>
          <w:insideV w:val="single" w:sz="8" w:space="0" w:color="AC66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band1Vert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  <w:shd w:val="clear" w:color="auto" w:fill="EAD9EE" w:themeFill="accent2" w:themeFillTint="3F"/>
      </w:tcPr>
    </w:tblStylePr>
    <w:tblStylePr w:type="band1Horz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  <w:insideV w:val="single" w:sz="8" w:space="0" w:color="AC66BB" w:themeColor="accent2"/>
        </w:tcBorders>
        <w:shd w:val="clear" w:color="auto" w:fill="EAD9EE" w:themeFill="accent2" w:themeFillTint="3F"/>
      </w:tcPr>
    </w:tblStylePr>
    <w:tblStylePr w:type="band2Horz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  <w:insideV w:val="single" w:sz="8" w:space="0" w:color="AC66BB" w:themeColor="accent2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062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2D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2D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Bačević</cp:lastModifiedBy>
  <cp:revision>11</cp:revision>
  <cp:lastPrinted>2018-03-27T12:50:00Z</cp:lastPrinted>
  <dcterms:created xsi:type="dcterms:W3CDTF">2017-12-06T01:14:00Z</dcterms:created>
  <dcterms:modified xsi:type="dcterms:W3CDTF">2018-03-27T12:50:00Z</dcterms:modified>
</cp:coreProperties>
</file>